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E471" w14:textId="598E0D7D" w:rsidR="0032049A" w:rsidRDefault="00DF649D" w:rsidP="1C47D809">
      <w:pPr>
        <w:jc w:val="center"/>
        <w:rPr>
          <w:b/>
          <w:bCs/>
          <w:color w:val="000000" w:themeColor="text1"/>
          <w:sz w:val="28"/>
          <w:szCs w:val="28"/>
        </w:rPr>
      </w:pPr>
      <w:r w:rsidRPr="1C47D809">
        <w:rPr>
          <w:b/>
          <w:bCs/>
          <w:color w:val="1F3864" w:themeColor="accent1" w:themeShade="80"/>
          <w:sz w:val="28"/>
          <w:szCs w:val="28"/>
        </w:rPr>
        <w:t xml:space="preserve">Unit of </w:t>
      </w:r>
      <w:r w:rsidRPr="1C47D809">
        <w:rPr>
          <w:b/>
          <w:bCs/>
          <w:color w:val="000000" w:themeColor="text1"/>
          <w:sz w:val="28"/>
          <w:szCs w:val="28"/>
        </w:rPr>
        <w:t>Study:</w:t>
      </w:r>
      <w:r w:rsidRPr="1C47D809">
        <w:rPr>
          <w:b/>
          <w:bCs/>
          <w:color w:val="000000" w:themeColor="text1"/>
          <w:sz w:val="24"/>
          <w:szCs w:val="24"/>
        </w:rPr>
        <w:t xml:space="preserve"> </w:t>
      </w:r>
      <w:r w:rsidR="00D127FA" w:rsidRPr="1C47D809">
        <w:rPr>
          <w:b/>
          <w:bCs/>
          <w:color w:val="000000" w:themeColor="text1"/>
          <w:sz w:val="28"/>
          <w:szCs w:val="28"/>
        </w:rPr>
        <w:t>ICT5</w:t>
      </w:r>
      <w:r w:rsidR="0048785D" w:rsidRPr="1C47D809">
        <w:rPr>
          <w:b/>
          <w:bCs/>
          <w:color w:val="000000" w:themeColor="text1"/>
          <w:sz w:val="28"/>
          <w:szCs w:val="28"/>
        </w:rPr>
        <w:t>3</w:t>
      </w:r>
      <w:r w:rsidR="000D42DE" w:rsidRPr="1C47D809">
        <w:rPr>
          <w:b/>
          <w:bCs/>
          <w:color w:val="000000" w:themeColor="text1"/>
          <w:sz w:val="28"/>
          <w:szCs w:val="28"/>
        </w:rPr>
        <w:t xml:space="preserve">50 </w:t>
      </w:r>
      <w:r w:rsidR="0048785D" w:rsidRPr="1C47D809">
        <w:rPr>
          <w:b/>
          <w:bCs/>
          <w:color w:val="000000" w:themeColor="text1"/>
          <w:sz w:val="28"/>
          <w:szCs w:val="28"/>
        </w:rPr>
        <w:t>Securing IT Systems</w:t>
      </w:r>
      <w:r w:rsidR="00937470" w:rsidRPr="1C47D809">
        <w:rPr>
          <w:b/>
          <w:bCs/>
          <w:color w:val="000000" w:themeColor="text1"/>
          <w:sz w:val="28"/>
          <w:szCs w:val="28"/>
        </w:rPr>
        <w:t xml:space="preserve"> </w:t>
      </w:r>
    </w:p>
    <w:p w14:paraId="32278DAA" w14:textId="77777777" w:rsidR="00D55C9C" w:rsidRDefault="00D55C9C" w:rsidP="1C47D809">
      <w:pPr>
        <w:jc w:val="center"/>
        <w:rPr>
          <w:b/>
          <w:bCs/>
          <w:color w:val="FF0000"/>
          <w:sz w:val="28"/>
          <w:szCs w:val="28"/>
        </w:rPr>
      </w:pPr>
    </w:p>
    <w:p w14:paraId="051C15CA" w14:textId="649C5F6D" w:rsidR="007C4BAA" w:rsidRPr="00E56E71" w:rsidRDefault="00E56E71" w:rsidP="1C47D809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  <w:r w:rsidRPr="1C47D809">
        <w:rPr>
          <w:b/>
          <w:bCs/>
          <w:color w:val="1F3864" w:themeColor="accent1" w:themeShade="80"/>
          <w:sz w:val="24"/>
          <w:szCs w:val="24"/>
        </w:rPr>
        <w:t>Overview</w:t>
      </w:r>
    </w:p>
    <w:p w14:paraId="6D3815F0" w14:textId="77777777" w:rsidR="003D64AF" w:rsidRPr="007C4BAA" w:rsidRDefault="003D64AF" w:rsidP="007C4BAA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4F2A5ADE" w14:textId="5278960E" w:rsidR="00001E63" w:rsidRDefault="00442634" w:rsidP="00001E63">
      <w:r>
        <w:t>In t</w:t>
      </w:r>
      <w:r w:rsidR="00001E63" w:rsidRPr="00001E63">
        <w:t xml:space="preserve">his unit </w:t>
      </w:r>
      <w:r>
        <w:t>s</w:t>
      </w:r>
      <w:r w:rsidR="00001E63" w:rsidRPr="00001E63">
        <w:t xml:space="preserve">tudents are introduced to a broad range of IT security related topics covering implementation, monitor and administration of IT infrastructure in accordance with information security policies and procedures that ensure data integrity and confidentiality. </w:t>
      </w:r>
      <w:r>
        <w:t>Students will a</w:t>
      </w:r>
      <w:r w:rsidR="00001E63" w:rsidRPr="00001E63">
        <w:t>pply a broad set of concepts to protect computing infrastructure from cyber security threats and attacks</w:t>
      </w:r>
      <w:r>
        <w:t xml:space="preserve"> through a series of workshops and simulations</w:t>
      </w:r>
      <w:r w:rsidR="00001E63" w:rsidRPr="00001E63">
        <w:t>.</w:t>
      </w: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2430"/>
        <w:gridCol w:w="6075"/>
      </w:tblGrid>
      <w:tr w:rsidR="00DF649D" w:rsidRPr="008D3A3F" w14:paraId="11678868" w14:textId="77777777" w:rsidTr="67E54527">
        <w:trPr>
          <w:trHeight w:val="20"/>
        </w:trPr>
        <w:tc>
          <w:tcPr>
            <w:tcW w:w="2430" w:type="dxa"/>
          </w:tcPr>
          <w:p w14:paraId="113220EA" w14:textId="596195F3" w:rsidR="00DF649D" w:rsidRPr="008D3A3F" w:rsidRDefault="00DF649D" w:rsidP="7F653D81">
            <w:pPr>
              <w:rPr>
                <w:b/>
                <w:bCs/>
                <w:color w:val="1F3864" w:themeColor="accent1" w:themeShade="80"/>
              </w:rPr>
            </w:pPr>
            <w:r w:rsidRPr="67E54527">
              <w:rPr>
                <w:b/>
                <w:bCs/>
                <w:color w:val="1F3864" w:themeColor="accent1" w:themeShade="80"/>
              </w:rPr>
              <w:t>Course(s)</w:t>
            </w:r>
          </w:p>
        </w:tc>
        <w:tc>
          <w:tcPr>
            <w:tcW w:w="6075" w:type="dxa"/>
          </w:tcPr>
          <w:p w14:paraId="38257E35" w14:textId="10D8F6E4" w:rsidR="00D127FA" w:rsidRPr="003D64AF" w:rsidRDefault="00D127FA" w:rsidP="00996BF9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Master of Information Technology</w:t>
            </w:r>
          </w:p>
        </w:tc>
      </w:tr>
      <w:tr w:rsidR="00DF649D" w:rsidRPr="008D3A3F" w14:paraId="40E4A1D3" w14:textId="77777777" w:rsidTr="67E54527">
        <w:trPr>
          <w:trHeight w:val="20"/>
        </w:trPr>
        <w:tc>
          <w:tcPr>
            <w:tcW w:w="2430" w:type="dxa"/>
          </w:tcPr>
          <w:p w14:paraId="6F60D47C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Credit Points</w:t>
            </w:r>
          </w:p>
        </w:tc>
        <w:tc>
          <w:tcPr>
            <w:tcW w:w="6075" w:type="dxa"/>
          </w:tcPr>
          <w:p w14:paraId="70C49713" w14:textId="4EA57686" w:rsidR="00DF649D" w:rsidRPr="003D64AF" w:rsidRDefault="008F13F1" w:rsidP="00DA0AD9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 xml:space="preserve">8 </w:t>
            </w:r>
            <w:r w:rsidR="00DF649D" w:rsidRPr="003D64AF">
              <w:rPr>
                <w:rFonts w:cstheme="minorHAnsi"/>
                <w:color w:val="000000" w:themeColor="text1"/>
              </w:rPr>
              <w:t>credit points</w:t>
            </w:r>
          </w:p>
        </w:tc>
      </w:tr>
      <w:tr w:rsidR="00DF649D" w:rsidRPr="008D3A3F" w14:paraId="4724D08B" w14:textId="77777777" w:rsidTr="67E54527">
        <w:trPr>
          <w:trHeight w:val="20"/>
        </w:trPr>
        <w:tc>
          <w:tcPr>
            <w:tcW w:w="2430" w:type="dxa"/>
          </w:tcPr>
          <w:p w14:paraId="1E20E11D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Duration</w:t>
            </w:r>
          </w:p>
        </w:tc>
        <w:tc>
          <w:tcPr>
            <w:tcW w:w="6075" w:type="dxa"/>
          </w:tcPr>
          <w:p w14:paraId="6E68D79F" w14:textId="3A25F1B8" w:rsidR="00DF649D" w:rsidRPr="003D64AF" w:rsidRDefault="00E56E71" w:rsidP="47606977">
            <w:pPr>
              <w:rPr>
                <w:color w:val="000000" w:themeColor="text1"/>
              </w:rPr>
            </w:pPr>
            <w:r>
              <w:t>12 weeks (10 teaching weeks; 1 revision week; 1 final assessment week)</w:t>
            </w:r>
          </w:p>
        </w:tc>
      </w:tr>
      <w:tr w:rsidR="005963EA" w:rsidRPr="008D3A3F" w14:paraId="17E46008" w14:textId="77777777" w:rsidTr="67E54527">
        <w:trPr>
          <w:trHeight w:val="20"/>
        </w:trPr>
        <w:tc>
          <w:tcPr>
            <w:tcW w:w="2430" w:type="dxa"/>
          </w:tcPr>
          <w:p w14:paraId="539260DC" w14:textId="77777777" w:rsidR="005963EA" w:rsidRPr="008D3A3F" w:rsidRDefault="005963EA" w:rsidP="000874AC">
            <w:pPr>
              <w:rPr>
                <w:rFonts w:cstheme="minorHAnsi"/>
                <w:b/>
                <w:color w:val="1F3864" w:themeColor="accent1" w:themeShade="80"/>
              </w:rPr>
            </w:pPr>
            <w:r>
              <w:rPr>
                <w:rFonts w:cstheme="minorHAnsi"/>
                <w:b/>
                <w:color w:val="1F3864" w:themeColor="accent1" w:themeShade="80"/>
              </w:rPr>
              <w:t>Level</w:t>
            </w:r>
          </w:p>
        </w:tc>
        <w:tc>
          <w:tcPr>
            <w:tcW w:w="6075" w:type="dxa"/>
          </w:tcPr>
          <w:p w14:paraId="1B887C79" w14:textId="77777777" w:rsidR="00D127FA" w:rsidRPr="003D64AF" w:rsidRDefault="005963EA" w:rsidP="000874AC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Postgraduate</w:t>
            </w:r>
          </w:p>
          <w:p w14:paraId="319ABA28" w14:textId="64C1AA1E" w:rsidR="005963EA" w:rsidRPr="003D64AF" w:rsidRDefault="00F721DB" w:rsidP="000874A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Advanced</w:t>
            </w:r>
          </w:p>
        </w:tc>
      </w:tr>
      <w:tr w:rsidR="00DF649D" w:rsidRPr="008D3A3F" w14:paraId="30679291" w14:textId="77777777" w:rsidTr="67E54527">
        <w:trPr>
          <w:trHeight w:val="20"/>
        </w:trPr>
        <w:tc>
          <w:tcPr>
            <w:tcW w:w="2430" w:type="dxa"/>
          </w:tcPr>
          <w:p w14:paraId="143787BE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Student Workload</w:t>
            </w:r>
          </w:p>
        </w:tc>
        <w:tc>
          <w:tcPr>
            <w:tcW w:w="6075" w:type="dxa"/>
          </w:tcPr>
          <w:p w14:paraId="315F4F07" w14:textId="6FA6B852" w:rsidR="00DF649D" w:rsidRPr="003D64AF" w:rsidRDefault="008F13F1" w:rsidP="47606977">
            <w:pPr>
              <w:rPr>
                <w:color w:val="000000" w:themeColor="text1"/>
              </w:rPr>
            </w:pPr>
            <w:r w:rsidRPr="47606977">
              <w:rPr>
                <w:color w:val="000000" w:themeColor="text1"/>
              </w:rPr>
              <w:t>Students should expect to spend approximately 13 hours per week over 12 weeks (totalling approximately 156 hours) on learning activities for this unit.</w:t>
            </w:r>
          </w:p>
        </w:tc>
      </w:tr>
      <w:tr w:rsidR="00DF649D" w:rsidRPr="008D3A3F" w14:paraId="0860BEA8" w14:textId="77777777" w:rsidTr="67E54527">
        <w:trPr>
          <w:trHeight w:val="20"/>
        </w:trPr>
        <w:tc>
          <w:tcPr>
            <w:tcW w:w="2430" w:type="dxa"/>
          </w:tcPr>
          <w:p w14:paraId="05B26735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Mode</w:t>
            </w:r>
            <w:r>
              <w:rPr>
                <w:rFonts w:cstheme="minorHAnsi"/>
                <w:b/>
                <w:color w:val="1F3864" w:themeColor="accent1" w:themeShade="80"/>
              </w:rPr>
              <w:t>(</w:t>
            </w:r>
            <w:r w:rsidRPr="008D3A3F">
              <w:rPr>
                <w:rFonts w:cstheme="minorHAnsi"/>
                <w:b/>
                <w:color w:val="1F3864" w:themeColor="accent1" w:themeShade="80"/>
              </w:rPr>
              <w:t>s</w:t>
            </w:r>
            <w:r>
              <w:rPr>
                <w:rFonts w:cstheme="minorHAnsi"/>
                <w:b/>
                <w:color w:val="1F3864" w:themeColor="accent1" w:themeShade="80"/>
              </w:rPr>
              <w:t>)</w:t>
            </w:r>
            <w:r w:rsidRPr="008D3A3F">
              <w:rPr>
                <w:rFonts w:cstheme="minorHAnsi"/>
                <w:b/>
                <w:color w:val="1F3864" w:themeColor="accent1" w:themeShade="80"/>
              </w:rPr>
              <w:t xml:space="preserve"> of Delivery</w:t>
            </w:r>
          </w:p>
        </w:tc>
        <w:tc>
          <w:tcPr>
            <w:tcW w:w="6075" w:type="dxa"/>
          </w:tcPr>
          <w:p w14:paraId="282E041E" w14:textId="42E39631" w:rsidR="00DF649D" w:rsidRPr="003D64AF" w:rsidRDefault="008F13F1" w:rsidP="008F13F1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On campus</w:t>
            </w:r>
            <w:r w:rsidR="000049A1" w:rsidRPr="003D64AF">
              <w:rPr>
                <w:rFonts w:cstheme="minorHAnsi"/>
                <w:color w:val="000000" w:themeColor="text1"/>
              </w:rPr>
              <w:t>, Blended</w:t>
            </w:r>
          </w:p>
        </w:tc>
      </w:tr>
      <w:tr w:rsidR="00DF649D" w:rsidRPr="008D3A3F" w14:paraId="4FC0FD2C" w14:textId="77777777" w:rsidTr="67E54527">
        <w:trPr>
          <w:trHeight w:val="20"/>
        </w:trPr>
        <w:tc>
          <w:tcPr>
            <w:tcW w:w="2430" w:type="dxa"/>
          </w:tcPr>
          <w:p w14:paraId="027ED8A6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Pre-Requisites</w:t>
            </w:r>
          </w:p>
        </w:tc>
        <w:tc>
          <w:tcPr>
            <w:tcW w:w="6075" w:type="dxa"/>
          </w:tcPr>
          <w:p w14:paraId="574A12D3" w14:textId="21A68C41" w:rsidR="00DF649D" w:rsidRPr="003D64AF" w:rsidRDefault="00D41781" w:rsidP="008F13F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ICT5</w:t>
            </w:r>
            <w:r w:rsidR="00442634">
              <w:rPr>
                <w:rFonts w:cstheme="minorHAnsi"/>
                <w:color w:val="000000" w:themeColor="text1"/>
              </w:rPr>
              <w:t>2</w:t>
            </w:r>
            <w:r>
              <w:rPr>
                <w:rFonts w:cstheme="minorHAnsi"/>
                <w:color w:val="000000" w:themeColor="text1"/>
              </w:rPr>
              <w:t xml:space="preserve">50 </w:t>
            </w:r>
            <w:r w:rsidR="00442634">
              <w:rPr>
                <w:rFonts w:cstheme="minorHAnsi"/>
                <w:color w:val="000000" w:themeColor="text1"/>
              </w:rPr>
              <w:t>Computer Networks and Security</w:t>
            </w:r>
          </w:p>
        </w:tc>
      </w:tr>
      <w:tr w:rsidR="00DF649D" w:rsidRPr="0032519A" w14:paraId="79057618" w14:textId="77777777" w:rsidTr="67E54527">
        <w:trPr>
          <w:trHeight w:val="20"/>
        </w:trPr>
        <w:tc>
          <w:tcPr>
            <w:tcW w:w="2430" w:type="dxa"/>
          </w:tcPr>
          <w:p w14:paraId="39BD6DA2" w14:textId="77777777" w:rsidR="00DF649D" w:rsidRPr="0032519A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32519A">
              <w:rPr>
                <w:rFonts w:cstheme="minorHAnsi"/>
                <w:b/>
                <w:color w:val="1F3864" w:themeColor="accent1" w:themeShade="80"/>
              </w:rPr>
              <w:t>Unit Coordinator</w:t>
            </w:r>
          </w:p>
        </w:tc>
        <w:tc>
          <w:tcPr>
            <w:tcW w:w="6075" w:type="dxa"/>
          </w:tcPr>
          <w:p w14:paraId="3323A1DD" w14:textId="6038144A" w:rsidR="00DF649D" w:rsidRPr="00EC18C9" w:rsidRDefault="5FD53F34" w:rsidP="5FD53F34">
            <w:pPr>
              <w:tabs>
                <w:tab w:val="left" w:pos="4620"/>
              </w:tabs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FD53F34">
              <w:rPr>
                <w:rFonts w:ascii="Calibri" w:eastAsia="Calibri" w:hAnsi="Calibri" w:cs="Calibri"/>
                <w:color w:val="000000" w:themeColor="text1"/>
              </w:rPr>
              <w:t xml:space="preserve">As per current </w:t>
            </w:r>
            <w:hyperlink r:id="rId10">
              <w:r w:rsidRPr="5FD53F34">
                <w:rPr>
                  <w:rStyle w:val="Hyperlink"/>
                </w:rPr>
                <w:t>timetable</w:t>
              </w:r>
            </w:hyperlink>
          </w:p>
        </w:tc>
      </w:tr>
      <w:tr w:rsidR="00DF649D" w:rsidRPr="008D3A3F" w14:paraId="55B0595B" w14:textId="77777777" w:rsidTr="67E54527">
        <w:trPr>
          <w:trHeight w:val="20"/>
        </w:trPr>
        <w:tc>
          <w:tcPr>
            <w:tcW w:w="2430" w:type="dxa"/>
          </w:tcPr>
          <w:p w14:paraId="61907C9D" w14:textId="77777777" w:rsidR="00DF649D" w:rsidRPr="00117B35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117B35">
              <w:rPr>
                <w:rFonts w:cstheme="minorHAnsi"/>
                <w:b/>
                <w:color w:val="1F3864" w:themeColor="accent1" w:themeShade="80"/>
              </w:rPr>
              <w:t>Contact Information</w:t>
            </w:r>
          </w:p>
        </w:tc>
        <w:tc>
          <w:tcPr>
            <w:tcW w:w="6075" w:type="dxa"/>
          </w:tcPr>
          <w:p w14:paraId="185A27AA" w14:textId="0697AE49" w:rsidR="00DF649D" w:rsidRPr="00EC18C9" w:rsidRDefault="5889A481" w:rsidP="5FD53F34">
            <w:pPr>
              <w:ind w:left="287" w:hanging="287"/>
            </w:pPr>
            <w:r w:rsidRPr="5FD53F34">
              <w:t>Consultation: 1 hour scheduled session</w:t>
            </w:r>
          </w:p>
        </w:tc>
      </w:tr>
    </w:tbl>
    <w:p w14:paraId="5D6CCF7B" w14:textId="1B78D5CF" w:rsidR="00DF649D" w:rsidRDefault="00DF649D" w:rsidP="00DF649D"/>
    <w:p w14:paraId="3AE8D42D" w14:textId="77777777" w:rsidR="00E56E71" w:rsidRDefault="00093309" w:rsidP="009002B4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E56E71">
        <w:rPr>
          <w:rFonts w:cstheme="minorHAnsi"/>
          <w:b/>
          <w:color w:val="1F3864" w:themeColor="accent1" w:themeShade="80"/>
          <w:sz w:val="24"/>
          <w:szCs w:val="24"/>
        </w:rPr>
        <w:t xml:space="preserve">Unit Learning </w:t>
      </w:r>
      <w:r w:rsidR="009002B4" w:rsidRPr="00E56E71">
        <w:rPr>
          <w:rFonts w:cstheme="minorHAnsi"/>
          <w:b/>
          <w:color w:val="1F3864" w:themeColor="accent1" w:themeShade="80"/>
          <w:sz w:val="24"/>
          <w:szCs w:val="24"/>
        </w:rPr>
        <w:t>Outcomes</w:t>
      </w:r>
    </w:p>
    <w:p w14:paraId="2F742CFF" w14:textId="11208590" w:rsidR="004B0EF1" w:rsidRPr="00E56E71" w:rsidRDefault="009002B4" w:rsidP="009002B4">
      <w:pPr>
        <w:spacing w:after="0" w:line="240" w:lineRule="auto"/>
      </w:pPr>
      <w:r w:rsidRPr="00E56E71">
        <w:t xml:space="preserve"> </w:t>
      </w:r>
    </w:p>
    <w:p w14:paraId="0DCFD518" w14:textId="77777777" w:rsidR="004B0EF1" w:rsidRDefault="004B0EF1" w:rsidP="004B0EF1">
      <w:pPr>
        <w:spacing w:after="0" w:line="240" w:lineRule="auto"/>
        <w:contextualSpacing/>
        <w:rPr>
          <w:rFonts w:eastAsia="Times New Roman" w:cstheme="minorHAnsi"/>
        </w:rPr>
      </w:pPr>
      <w:r w:rsidRPr="0058739F">
        <w:rPr>
          <w:rFonts w:eastAsia="Times New Roman" w:cstheme="minorHAnsi"/>
        </w:rPr>
        <w:t>On successful completion of this unit, students will be able to:</w:t>
      </w:r>
    </w:p>
    <w:p w14:paraId="5AF5DCE1" w14:textId="77777777" w:rsidR="00D6585C" w:rsidRPr="0058739F" w:rsidRDefault="00D6585C" w:rsidP="004B0EF1">
      <w:pPr>
        <w:spacing w:after="0" w:line="240" w:lineRule="auto"/>
        <w:contextualSpacing/>
        <w:rPr>
          <w:rFonts w:eastAsia="Times New Roman" w:cstheme="minorHAnsi"/>
        </w:rPr>
      </w:pPr>
    </w:p>
    <w:p w14:paraId="1282F782" w14:textId="27B0962B" w:rsidR="00442634" w:rsidRPr="00442634" w:rsidRDefault="00442634" w:rsidP="00F7130F">
      <w:pPr>
        <w:ind w:left="1134" w:hanging="708"/>
      </w:pPr>
      <w:r w:rsidRPr="00442634">
        <w:t xml:space="preserve">ULO1 </w:t>
      </w:r>
      <w:r w:rsidR="00D6585C">
        <w:tab/>
      </w:r>
      <w:r w:rsidRPr="00442634">
        <w:t>Apply technical concepts and frameworks related to cyber security.</w:t>
      </w:r>
    </w:p>
    <w:p w14:paraId="41737230" w14:textId="3C7DB395" w:rsidR="00442634" w:rsidRPr="00442634" w:rsidRDefault="00442634" w:rsidP="00F7130F">
      <w:pPr>
        <w:ind w:left="1134" w:hanging="708"/>
      </w:pPr>
      <w:r w:rsidRPr="00442634">
        <w:t xml:space="preserve">ULO2 </w:t>
      </w:r>
      <w:r w:rsidR="00D6585C">
        <w:tab/>
      </w:r>
      <w:r w:rsidRPr="00442634">
        <w:t xml:space="preserve">Justify strategies and measures to safeguards IT systems to mitigating risk and controls losses associated with adverse events. </w:t>
      </w:r>
    </w:p>
    <w:p w14:paraId="18CFCAF5" w14:textId="3D5F2B4D" w:rsidR="00442634" w:rsidRPr="00442634" w:rsidRDefault="00442634" w:rsidP="00F7130F">
      <w:pPr>
        <w:ind w:left="1134" w:hanging="708"/>
      </w:pPr>
      <w:r w:rsidRPr="00442634">
        <w:t xml:space="preserve">ULO3 </w:t>
      </w:r>
      <w:r w:rsidR="00D6585C">
        <w:tab/>
      </w:r>
      <w:r w:rsidRPr="00442634">
        <w:t>Evaluate security risks, threats and vulnerabilities and discuss appropriate information security protection mechanisms.</w:t>
      </w:r>
    </w:p>
    <w:p w14:paraId="6D8BE008" w14:textId="166E67AC" w:rsidR="00442634" w:rsidRPr="00442634" w:rsidRDefault="00442634" w:rsidP="00F7130F">
      <w:pPr>
        <w:ind w:left="1134" w:hanging="708"/>
      </w:pPr>
      <w:r w:rsidRPr="00442634">
        <w:t xml:space="preserve">ULO4 </w:t>
      </w:r>
      <w:r w:rsidR="00D6585C">
        <w:tab/>
      </w:r>
      <w:r w:rsidRPr="00442634">
        <w:t>Diagnose the cause of security incidents</w:t>
      </w:r>
      <w:r w:rsidR="00D6585C">
        <w:t>.</w:t>
      </w:r>
    </w:p>
    <w:p w14:paraId="6EEACE5A" w14:textId="248BE08B" w:rsidR="00442634" w:rsidRPr="00442634" w:rsidRDefault="00442634" w:rsidP="00F7130F">
      <w:pPr>
        <w:ind w:left="1134" w:hanging="708"/>
      </w:pPr>
      <w:r w:rsidRPr="00442634">
        <w:t xml:space="preserve">ULO5 </w:t>
      </w:r>
      <w:r w:rsidR="00D6585C">
        <w:tab/>
      </w:r>
      <w:r w:rsidRPr="00442634">
        <w:t>Develop a security incident response plans</w:t>
      </w:r>
      <w:r w:rsidR="00D6585C">
        <w:t>.</w:t>
      </w:r>
    </w:p>
    <w:p w14:paraId="153E6FF3" w14:textId="54ED2DEB" w:rsidR="00A63332" w:rsidRDefault="00A63332" w:rsidP="00E74F0A">
      <w:pPr>
        <w:spacing w:after="0" w:line="240" w:lineRule="auto"/>
        <w:ind w:left="709" w:hanging="709"/>
        <w:contextualSpacing/>
      </w:pPr>
    </w:p>
    <w:p w14:paraId="3FBEB1CD" w14:textId="77777777" w:rsidR="006C5CE5" w:rsidRDefault="006C5CE5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>
        <w:rPr>
          <w:rFonts w:cstheme="minorHAnsi"/>
          <w:b/>
          <w:color w:val="1F3864" w:themeColor="accent1" w:themeShade="80"/>
          <w:sz w:val="24"/>
          <w:szCs w:val="24"/>
          <w:u w:val="single"/>
        </w:rPr>
        <w:br w:type="page"/>
      </w:r>
    </w:p>
    <w:p w14:paraId="15A65FF3" w14:textId="39A666B3" w:rsidR="008E0DE9" w:rsidRDefault="008E0DE9" w:rsidP="00A63332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 w:rsidRPr="00A63332">
        <w:rPr>
          <w:rFonts w:cstheme="minorHAnsi"/>
          <w:b/>
          <w:color w:val="1F3864" w:themeColor="accent1" w:themeShade="80"/>
          <w:sz w:val="24"/>
          <w:szCs w:val="24"/>
          <w:u w:val="single"/>
        </w:rPr>
        <w:lastRenderedPageBreak/>
        <w:t xml:space="preserve">Weekly Schedule </w:t>
      </w:r>
    </w:p>
    <w:p w14:paraId="64893F18" w14:textId="77777777" w:rsidR="0046533F" w:rsidRDefault="0046533F" w:rsidP="00A63332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5E9DA488" w14:textId="0704887A" w:rsidR="00A63332" w:rsidRPr="00A63332" w:rsidRDefault="00A63332" w:rsidP="00162C20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 w:rsidRPr="00A52649">
        <w:rPr>
          <w:rFonts w:cstheme="minorHAnsi"/>
          <w:color w:val="000000" w:themeColor="text1"/>
        </w:rPr>
        <w:t xml:space="preserve">Detailed information for each week’s activities can be found on </w:t>
      </w:r>
      <w:r w:rsidR="00F353C4" w:rsidRPr="00A52649">
        <w:rPr>
          <w:rFonts w:cstheme="minorHAnsi"/>
          <w:color w:val="000000" w:themeColor="text1"/>
        </w:rPr>
        <w:t>Unit’s Weekly</w:t>
      </w:r>
      <w:r w:rsidRPr="00A52649">
        <w:rPr>
          <w:rFonts w:cstheme="minorHAnsi"/>
          <w:color w:val="000000" w:themeColor="text1"/>
        </w:rPr>
        <w:t xml:space="preserve"> Modules in </w:t>
      </w:r>
      <w:r w:rsidRPr="00E56E71">
        <w:rPr>
          <w:rFonts w:cstheme="minorHAnsi"/>
        </w:rPr>
        <w:t>Canvas.</w:t>
      </w:r>
    </w:p>
    <w:tbl>
      <w:tblPr>
        <w:tblStyle w:val="TableGrid"/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959"/>
        <w:gridCol w:w="8108"/>
      </w:tblGrid>
      <w:tr w:rsidR="004D68A4" w:rsidRPr="005A58A0" w14:paraId="17BC29AA" w14:textId="77777777" w:rsidTr="78D59988">
        <w:trPr>
          <w:cantSplit/>
          <w:trHeight w:val="421"/>
        </w:trPr>
        <w:tc>
          <w:tcPr>
            <w:tcW w:w="959" w:type="dxa"/>
            <w:shd w:val="clear" w:color="auto" w:fill="B4C6E7" w:themeFill="accent1" w:themeFillTint="66"/>
          </w:tcPr>
          <w:p w14:paraId="7D951C9A" w14:textId="77777777" w:rsidR="004D68A4" w:rsidRPr="005A58A0" w:rsidRDefault="004D68A4" w:rsidP="005A58A0">
            <w:pPr>
              <w:jc w:val="center"/>
              <w:rPr>
                <w:rFonts w:cstheme="minorHAnsi"/>
                <w:b/>
                <w:color w:val="1F3864" w:themeColor="accent1" w:themeShade="80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1F3864" w:themeColor="accent1" w:themeShade="80"/>
                <w:sz w:val="20"/>
                <w:szCs w:val="20"/>
              </w:rPr>
              <w:t>Week</w:t>
            </w:r>
          </w:p>
        </w:tc>
        <w:tc>
          <w:tcPr>
            <w:tcW w:w="8108" w:type="dxa"/>
            <w:shd w:val="clear" w:color="auto" w:fill="B4C6E7" w:themeFill="accent1" w:themeFillTint="66"/>
          </w:tcPr>
          <w:p w14:paraId="5C773B80" w14:textId="77777777" w:rsidR="004D68A4" w:rsidRPr="005A58A0" w:rsidRDefault="004D68A4" w:rsidP="005A58A0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5A58A0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Topic</w:t>
            </w:r>
          </w:p>
        </w:tc>
      </w:tr>
      <w:tr w:rsidR="00774C96" w:rsidRPr="005A58A0" w14:paraId="4AFA2B8A" w14:textId="77777777" w:rsidTr="78D59988">
        <w:trPr>
          <w:cantSplit/>
          <w:trHeight w:val="567"/>
        </w:trPr>
        <w:tc>
          <w:tcPr>
            <w:tcW w:w="959" w:type="dxa"/>
            <w:vAlign w:val="center"/>
          </w:tcPr>
          <w:p w14:paraId="28971F0C" w14:textId="0D5D75B3" w:rsidR="00774C96" w:rsidRPr="005A58A0" w:rsidRDefault="00774C96" w:rsidP="0058739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</w:t>
            </w:r>
          </w:p>
        </w:tc>
        <w:tc>
          <w:tcPr>
            <w:tcW w:w="8108" w:type="dxa"/>
            <w:vAlign w:val="center"/>
          </w:tcPr>
          <w:p w14:paraId="488EE35B" w14:textId="7C1B9344" w:rsidR="005B5450" w:rsidRPr="00AF38D5" w:rsidRDefault="00220623" w:rsidP="00220623">
            <w:r w:rsidRPr="00AF38D5">
              <w:t>Introduction to IT security</w:t>
            </w:r>
          </w:p>
        </w:tc>
      </w:tr>
      <w:tr w:rsidR="00774C96" w:rsidRPr="005A58A0" w14:paraId="24678A2C" w14:textId="77777777" w:rsidTr="78D59988">
        <w:trPr>
          <w:cantSplit/>
          <w:trHeight w:val="567"/>
        </w:trPr>
        <w:tc>
          <w:tcPr>
            <w:tcW w:w="959" w:type="dxa"/>
            <w:vAlign w:val="center"/>
          </w:tcPr>
          <w:p w14:paraId="7A65294B" w14:textId="557907F4" w:rsidR="00774C96" w:rsidRPr="005A58A0" w:rsidRDefault="00774C96" w:rsidP="0058739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2</w:t>
            </w:r>
          </w:p>
        </w:tc>
        <w:tc>
          <w:tcPr>
            <w:tcW w:w="8108" w:type="dxa"/>
            <w:vAlign w:val="center"/>
          </w:tcPr>
          <w:p w14:paraId="6853CE10" w14:textId="411EDC57" w:rsidR="00BF3BB7" w:rsidRPr="00AF38D5" w:rsidRDefault="00220623" w:rsidP="00220623">
            <w:r w:rsidRPr="00AF38D5">
              <w:t>Access Controls part 1</w:t>
            </w:r>
          </w:p>
        </w:tc>
      </w:tr>
      <w:tr w:rsidR="00774C96" w:rsidRPr="005A58A0" w14:paraId="5538DCB9" w14:textId="77777777" w:rsidTr="78D59988">
        <w:trPr>
          <w:cantSplit/>
          <w:trHeight w:val="567"/>
        </w:trPr>
        <w:tc>
          <w:tcPr>
            <w:tcW w:w="959" w:type="dxa"/>
            <w:vAlign w:val="center"/>
          </w:tcPr>
          <w:p w14:paraId="332C6D03" w14:textId="1F32F0C3" w:rsidR="00774C96" w:rsidRPr="005A58A0" w:rsidRDefault="00774C96" w:rsidP="0058739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3</w:t>
            </w:r>
          </w:p>
        </w:tc>
        <w:tc>
          <w:tcPr>
            <w:tcW w:w="8108" w:type="dxa"/>
            <w:vAlign w:val="center"/>
          </w:tcPr>
          <w:p w14:paraId="33EA212E" w14:textId="5CF23C26" w:rsidR="00BF3BB7" w:rsidRPr="00AF38D5" w:rsidRDefault="00220623" w:rsidP="000F420E">
            <w:r w:rsidRPr="00AF38D5">
              <w:t>Access Controls part 2</w:t>
            </w:r>
          </w:p>
        </w:tc>
      </w:tr>
      <w:tr w:rsidR="00774C96" w:rsidRPr="005A58A0" w14:paraId="71FC58A5" w14:textId="77777777" w:rsidTr="78D59988">
        <w:trPr>
          <w:cantSplit/>
          <w:trHeight w:val="567"/>
        </w:trPr>
        <w:tc>
          <w:tcPr>
            <w:tcW w:w="959" w:type="dxa"/>
            <w:vAlign w:val="center"/>
          </w:tcPr>
          <w:p w14:paraId="01787C47" w14:textId="004B2982" w:rsidR="00774C96" w:rsidRPr="005A58A0" w:rsidRDefault="00774C96" w:rsidP="0058739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4</w:t>
            </w:r>
          </w:p>
        </w:tc>
        <w:tc>
          <w:tcPr>
            <w:tcW w:w="8108" w:type="dxa"/>
            <w:vAlign w:val="center"/>
          </w:tcPr>
          <w:p w14:paraId="0902DB59" w14:textId="5B6ABDA8" w:rsidR="00527DB6" w:rsidRPr="00AF38D5" w:rsidRDefault="00220623" w:rsidP="00220623">
            <w:pPr>
              <w:divId w:val="1551499307"/>
            </w:pPr>
            <w:r w:rsidRPr="00AF38D5">
              <w:t xml:space="preserve">Security Operations and Administration </w:t>
            </w:r>
          </w:p>
        </w:tc>
      </w:tr>
      <w:tr w:rsidR="00774C96" w:rsidRPr="005A58A0" w14:paraId="1168B281" w14:textId="77777777" w:rsidTr="78D59988">
        <w:trPr>
          <w:cantSplit/>
          <w:trHeight w:val="567"/>
        </w:trPr>
        <w:tc>
          <w:tcPr>
            <w:tcW w:w="959" w:type="dxa"/>
            <w:vAlign w:val="center"/>
          </w:tcPr>
          <w:p w14:paraId="78E1B0B8" w14:textId="5E840A56" w:rsidR="00774C96" w:rsidRPr="005A58A0" w:rsidRDefault="00774C96" w:rsidP="0058739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5</w:t>
            </w:r>
          </w:p>
        </w:tc>
        <w:tc>
          <w:tcPr>
            <w:tcW w:w="8108" w:type="dxa"/>
            <w:vAlign w:val="center"/>
          </w:tcPr>
          <w:p w14:paraId="52EFE113" w14:textId="5C626603" w:rsidR="009951E4" w:rsidRPr="00AF38D5" w:rsidRDefault="00220623" w:rsidP="00220623">
            <w:r w:rsidRPr="00AF38D5">
              <w:t xml:space="preserve">Risk Identification, Monitoring and Analysis </w:t>
            </w:r>
          </w:p>
        </w:tc>
      </w:tr>
      <w:tr w:rsidR="00774C96" w:rsidRPr="005A58A0" w14:paraId="0A77A813" w14:textId="77777777" w:rsidTr="78D59988">
        <w:trPr>
          <w:cantSplit/>
          <w:trHeight w:val="567"/>
        </w:trPr>
        <w:tc>
          <w:tcPr>
            <w:tcW w:w="959" w:type="dxa"/>
            <w:vAlign w:val="center"/>
          </w:tcPr>
          <w:p w14:paraId="7CEC155E" w14:textId="0A8D623C" w:rsidR="00774C96" w:rsidRPr="005A58A0" w:rsidRDefault="00774C96" w:rsidP="0058739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6</w:t>
            </w:r>
          </w:p>
        </w:tc>
        <w:tc>
          <w:tcPr>
            <w:tcW w:w="8108" w:type="dxa"/>
            <w:vAlign w:val="center"/>
          </w:tcPr>
          <w:p w14:paraId="03CB1830" w14:textId="24B98773" w:rsidR="009951E4" w:rsidRPr="00AF38D5" w:rsidRDefault="00220623" w:rsidP="00220623">
            <w:r w:rsidRPr="00AF38D5">
              <w:t xml:space="preserve">Incident Response and Recovery </w:t>
            </w:r>
          </w:p>
        </w:tc>
      </w:tr>
      <w:tr w:rsidR="00774C96" w:rsidRPr="005A58A0" w14:paraId="61B2ED06" w14:textId="77777777" w:rsidTr="78D59988">
        <w:trPr>
          <w:cantSplit/>
          <w:trHeight w:val="567"/>
        </w:trPr>
        <w:tc>
          <w:tcPr>
            <w:tcW w:w="959" w:type="dxa"/>
            <w:vAlign w:val="center"/>
          </w:tcPr>
          <w:p w14:paraId="24C66773" w14:textId="6CFE4341" w:rsidR="00774C96" w:rsidRPr="005A58A0" w:rsidRDefault="00774C96" w:rsidP="0058739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7</w:t>
            </w:r>
          </w:p>
        </w:tc>
        <w:tc>
          <w:tcPr>
            <w:tcW w:w="8108" w:type="dxa"/>
            <w:vAlign w:val="center"/>
          </w:tcPr>
          <w:p w14:paraId="19B53C1D" w14:textId="640EE6E2" w:rsidR="009951E4" w:rsidRPr="00AF38D5" w:rsidRDefault="00220623" w:rsidP="00220623">
            <w:r w:rsidRPr="00AF38D5">
              <w:t>Cryptography</w:t>
            </w:r>
          </w:p>
        </w:tc>
      </w:tr>
      <w:tr w:rsidR="00774C96" w:rsidRPr="005A58A0" w14:paraId="5FBE86C2" w14:textId="77777777" w:rsidTr="78D59988">
        <w:trPr>
          <w:cantSplit/>
          <w:trHeight w:val="567"/>
        </w:trPr>
        <w:tc>
          <w:tcPr>
            <w:tcW w:w="959" w:type="dxa"/>
            <w:vAlign w:val="center"/>
          </w:tcPr>
          <w:p w14:paraId="202E8ADF" w14:textId="13C2BE38" w:rsidR="00774C96" w:rsidRPr="005A58A0" w:rsidRDefault="00774C96" w:rsidP="0058739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58739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108" w:type="dxa"/>
            <w:vAlign w:val="center"/>
          </w:tcPr>
          <w:p w14:paraId="6C6FCE2C" w14:textId="1E589950" w:rsidR="00774C96" w:rsidRPr="00AF38D5" w:rsidRDefault="00220623" w:rsidP="00220623">
            <w:r w:rsidRPr="00AF38D5">
              <w:t>Network and Communications Security part 1</w:t>
            </w:r>
          </w:p>
        </w:tc>
      </w:tr>
      <w:tr w:rsidR="00774C96" w:rsidRPr="005A58A0" w14:paraId="656C9137" w14:textId="77777777" w:rsidTr="78D59988">
        <w:trPr>
          <w:cantSplit/>
          <w:trHeight w:val="567"/>
        </w:trPr>
        <w:tc>
          <w:tcPr>
            <w:tcW w:w="959" w:type="dxa"/>
            <w:vAlign w:val="center"/>
          </w:tcPr>
          <w:p w14:paraId="107521BA" w14:textId="69701920" w:rsidR="00774C96" w:rsidRPr="005A58A0" w:rsidRDefault="00774C96" w:rsidP="0058739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</w:t>
            </w:r>
            <w:r w:rsidR="0058739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108" w:type="dxa"/>
            <w:vAlign w:val="center"/>
          </w:tcPr>
          <w:p w14:paraId="4B16F4F1" w14:textId="03D0FDB4" w:rsidR="005A58A0" w:rsidRPr="00AF38D5" w:rsidRDefault="00220623" w:rsidP="00220623">
            <w:pPr>
              <w:divId w:val="1548836109"/>
            </w:pPr>
            <w:r w:rsidRPr="00AF38D5">
              <w:t>Network and Communications Security part 2</w:t>
            </w:r>
          </w:p>
        </w:tc>
      </w:tr>
      <w:tr w:rsidR="00774C96" w:rsidRPr="005A58A0" w14:paraId="174E1FB0" w14:textId="77777777" w:rsidTr="78D59988">
        <w:trPr>
          <w:cantSplit/>
          <w:trHeight w:val="567"/>
        </w:trPr>
        <w:tc>
          <w:tcPr>
            <w:tcW w:w="959" w:type="dxa"/>
            <w:vAlign w:val="center"/>
          </w:tcPr>
          <w:p w14:paraId="0F02B601" w14:textId="418A0F35" w:rsidR="00774C96" w:rsidRPr="005A58A0" w:rsidRDefault="00774C96" w:rsidP="00FD685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10</w:t>
            </w:r>
          </w:p>
        </w:tc>
        <w:tc>
          <w:tcPr>
            <w:tcW w:w="8108" w:type="dxa"/>
            <w:vAlign w:val="center"/>
          </w:tcPr>
          <w:p w14:paraId="695EF25B" w14:textId="5C74484E" w:rsidR="005A58A0" w:rsidRPr="00AF38D5" w:rsidRDefault="00220623" w:rsidP="00220623">
            <w:pPr>
              <w:rPr>
                <w:color w:val="FF0000"/>
              </w:rPr>
            </w:pPr>
            <w:r w:rsidRPr="00AF38D5">
              <w:t xml:space="preserve">Systems and Application Security </w:t>
            </w:r>
          </w:p>
        </w:tc>
      </w:tr>
      <w:tr w:rsidR="005D4EEC" w:rsidRPr="005A58A0" w14:paraId="1ACD4A4D" w14:textId="77777777" w:rsidTr="78D59988">
        <w:trPr>
          <w:cantSplit/>
          <w:trHeight w:val="567"/>
        </w:trPr>
        <w:tc>
          <w:tcPr>
            <w:tcW w:w="959" w:type="dxa"/>
            <w:vAlign w:val="center"/>
          </w:tcPr>
          <w:p w14:paraId="5960C255" w14:textId="68762CA2" w:rsidR="005D4EEC" w:rsidRPr="005A58A0" w:rsidRDefault="005D4EEC" w:rsidP="00FD685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11</w:t>
            </w:r>
          </w:p>
        </w:tc>
        <w:tc>
          <w:tcPr>
            <w:tcW w:w="8108" w:type="dxa"/>
            <w:vAlign w:val="center"/>
          </w:tcPr>
          <w:p w14:paraId="700C16A2" w14:textId="65E6E03D" w:rsidR="005D4EEC" w:rsidRPr="0004365E" w:rsidRDefault="78D59988" w:rsidP="78D59988">
            <w:pPr>
              <w:pStyle w:val="paragraph"/>
              <w:spacing w:before="0" w:beforeAutospacing="0" w:after="0" w:afterAutospacing="0"/>
            </w:pPr>
            <w:r w:rsidRPr="78D59988">
              <w:rPr>
                <w:rFonts w:asciiTheme="minorHAnsi" w:hAnsiTheme="minorHAnsi" w:cstheme="minorBidi"/>
                <w:sz w:val="22"/>
                <w:szCs w:val="22"/>
              </w:rPr>
              <w:t xml:space="preserve">Revision </w:t>
            </w:r>
          </w:p>
        </w:tc>
      </w:tr>
      <w:tr w:rsidR="00FD6850" w:rsidRPr="005A58A0" w14:paraId="5F7DF0C9" w14:textId="77777777" w:rsidTr="78D59988">
        <w:trPr>
          <w:cantSplit/>
          <w:trHeight w:val="567"/>
        </w:trPr>
        <w:tc>
          <w:tcPr>
            <w:tcW w:w="959" w:type="dxa"/>
            <w:vAlign w:val="center"/>
          </w:tcPr>
          <w:p w14:paraId="44702181" w14:textId="0C80C7A8" w:rsidR="00FD6850" w:rsidRDefault="00FD6850" w:rsidP="0058739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12</w:t>
            </w:r>
          </w:p>
        </w:tc>
        <w:tc>
          <w:tcPr>
            <w:tcW w:w="8108" w:type="dxa"/>
            <w:vAlign w:val="center"/>
          </w:tcPr>
          <w:p w14:paraId="1CC227CF" w14:textId="03F77174" w:rsidR="00FD6850" w:rsidRPr="0004365E" w:rsidRDefault="00FD6850" w:rsidP="00FD685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365E">
              <w:rPr>
                <w:rFonts w:asciiTheme="minorHAnsi" w:hAnsiTheme="minorHAnsi" w:cstheme="minorHAnsi"/>
                <w:sz w:val="22"/>
                <w:szCs w:val="22"/>
              </w:rPr>
              <w:t>Final Assessments</w:t>
            </w:r>
          </w:p>
        </w:tc>
      </w:tr>
    </w:tbl>
    <w:p w14:paraId="55E519A3" w14:textId="5CE0F904" w:rsidR="00305D33" w:rsidRDefault="00305D33" w:rsidP="00305D33"/>
    <w:p w14:paraId="7587CF67" w14:textId="77777777" w:rsidR="004E2E33" w:rsidRDefault="004E2E33" w:rsidP="004E2E33">
      <w:pPr>
        <w:pStyle w:val="Heading1"/>
        <w:rPr>
          <w:color w:val="172957"/>
        </w:rPr>
      </w:pPr>
      <w:r>
        <w:rPr>
          <w:color w:val="172957"/>
        </w:rPr>
        <w:t>Assessments</w:t>
      </w:r>
    </w:p>
    <w:p w14:paraId="762CA6D0" w14:textId="77777777" w:rsidR="004E2E33" w:rsidRDefault="004E2E33" w:rsidP="004E2E33">
      <w:pPr>
        <w:pStyle w:val="Heading1"/>
      </w:pPr>
    </w:p>
    <w:p w14:paraId="2A087845" w14:textId="77777777" w:rsidR="004E2E33" w:rsidRPr="001A695F" w:rsidRDefault="004E2E33" w:rsidP="004E2E33">
      <w:pPr>
        <w:pStyle w:val="ListParagraph"/>
        <w:widowControl w:val="0"/>
        <w:numPr>
          <w:ilvl w:val="0"/>
          <w:numId w:val="47"/>
        </w:numPr>
        <w:autoSpaceDE w:val="0"/>
        <w:autoSpaceDN w:val="0"/>
        <w:spacing w:after="120" w:line="264" w:lineRule="auto"/>
        <w:ind w:left="357" w:hanging="357"/>
        <w:contextualSpacing w:val="0"/>
        <w:rPr>
          <w:rFonts w:cstheme="minorHAnsi"/>
        </w:rPr>
      </w:pPr>
      <w:r w:rsidRPr="001A695F">
        <w:rPr>
          <w:rFonts w:cstheme="minorHAnsi"/>
        </w:rPr>
        <w:t xml:space="preserve">All </w:t>
      </w:r>
      <w:r w:rsidRPr="001A695F">
        <w:rPr>
          <w:rFonts w:cstheme="minorHAnsi"/>
          <w:color w:val="000000" w:themeColor="text1"/>
        </w:rPr>
        <w:t>assessments</w:t>
      </w:r>
      <w:r w:rsidRPr="001A695F">
        <w:rPr>
          <w:rFonts w:cstheme="minorHAnsi"/>
        </w:rPr>
        <w:t xml:space="preserve"> are compulsory.</w:t>
      </w:r>
    </w:p>
    <w:p w14:paraId="21FAA88A" w14:textId="77777777" w:rsidR="004E2E33" w:rsidRPr="001A695F" w:rsidRDefault="004E2E33" w:rsidP="004E2E33">
      <w:pPr>
        <w:pStyle w:val="ListParagraph"/>
        <w:numPr>
          <w:ilvl w:val="0"/>
          <w:numId w:val="47"/>
        </w:numPr>
        <w:spacing w:after="120" w:line="264" w:lineRule="auto"/>
        <w:ind w:left="363"/>
        <w:rPr>
          <w:rFonts w:cstheme="minorHAnsi"/>
        </w:rPr>
      </w:pPr>
      <w:r w:rsidRPr="001A695F">
        <w:rPr>
          <w:rFonts w:cstheme="minorHAnsi"/>
        </w:rPr>
        <w:t xml:space="preserve">To pass </w:t>
      </w:r>
      <w:r w:rsidRPr="001A695F">
        <w:rPr>
          <w:rFonts w:cstheme="minorHAnsi"/>
          <w:color w:val="000000" w:themeColor="text1"/>
        </w:rPr>
        <w:t>the</w:t>
      </w:r>
      <w:r w:rsidRPr="001A695F">
        <w:rPr>
          <w:rFonts w:cstheme="minorHAnsi"/>
        </w:rPr>
        <w:t xml:space="preserve"> unit students must:</w:t>
      </w:r>
    </w:p>
    <w:p w14:paraId="282075D3" w14:textId="77777777" w:rsidR="004E2E33" w:rsidRPr="001A695F" w:rsidRDefault="004E2E33" w:rsidP="004E2E33">
      <w:pPr>
        <w:pStyle w:val="ListParagraph"/>
        <w:numPr>
          <w:ilvl w:val="0"/>
          <w:numId w:val="46"/>
        </w:numPr>
        <w:spacing w:after="120" w:line="264" w:lineRule="auto"/>
        <w:ind w:left="1083"/>
        <w:rPr>
          <w:rFonts w:cstheme="minorHAnsi"/>
        </w:rPr>
      </w:pPr>
      <w:r w:rsidRPr="001A695F">
        <w:rPr>
          <w:rFonts w:cstheme="minorHAnsi"/>
        </w:rPr>
        <w:t>achieve a total of 50% or more of marks offered; and</w:t>
      </w:r>
    </w:p>
    <w:p w14:paraId="0054E245" w14:textId="77777777" w:rsidR="004E2E33" w:rsidRPr="001A695F" w:rsidRDefault="004E2E33" w:rsidP="004E2E33">
      <w:pPr>
        <w:pStyle w:val="ListParagraph"/>
        <w:numPr>
          <w:ilvl w:val="0"/>
          <w:numId w:val="46"/>
        </w:numPr>
        <w:spacing w:after="120" w:line="264" w:lineRule="auto"/>
        <w:ind w:left="1083"/>
        <w:rPr>
          <w:rFonts w:cstheme="minorHAnsi"/>
        </w:rPr>
      </w:pPr>
      <w:r w:rsidRPr="001A695F">
        <w:rPr>
          <w:rFonts w:cstheme="minorHAnsi"/>
        </w:rPr>
        <w:t>pass all individual invigilated assessments; and</w:t>
      </w:r>
    </w:p>
    <w:p w14:paraId="53791089" w14:textId="77777777" w:rsidR="004E2E33" w:rsidRPr="001A695F" w:rsidRDefault="004E2E33" w:rsidP="004E2E33">
      <w:pPr>
        <w:pStyle w:val="ListParagraph"/>
        <w:numPr>
          <w:ilvl w:val="0"/>
          <w:numId w:val="46"/>
        </w:numPr>
        <w:spacing w:after="120" w:line="264" w:lineRule="auto"/>
        <w:ind w:left="1083"/>
        <w:rPr>
          <w:rFonts w:cstheme="minorHAnsi"/>
        </w:rPr>
      </w:pPr>
      <w:r w:rsidRPr="001A695F">
        <w:rPr>
          <w:rFonts w:cstheme="minorHAnsi"/>
        </w:rPr>
        <w:t>have attempted all assessments.</w:t>
      </w:r>
    </w:p>
    <w:p w14:paraId="667C3CB3" w14:textId="77777777" w:rsidR="004E2E33" w:rsidRPr="001A695F" w:rsidRDefault="004E2E33" w:rsidP="004E2E33">
      <w:pPr>
        <w:spacing w:after="120" w:line="264" w:lineRule="auto"/>
        <w:ind w:left="363"/>
        <w:rPr>
          <w:rFonts w:cstheme="minorHAnsi"/>
          <w:color w:val="000000" w:themeColor="text1"/>
        </w:rPr>
      </w:pPr>
      <w:r w:rsidRPr="001A695F">
        <w:rPr>
          <w:rFonts w:cstheme="minorHAnsi"/>
        </w:rPr>
        <w:t>Where one or more of these requirements are not met, the Board of Examiners will consider a student’s overall progress</w:t>
      </w:r>
      <w:r w:rsidRPr="001A695F">
        <w:rPr>
          <w:rFonts w:cstheme="minorHAnsi"/>
          <w:color w:val="000000" w:themeColor="text1"/>
        </w:rPr>
        <w:t xml:space="preserve"> towards meeting the unit learning outcomes and any special circumstances before reaching a decision.  </w:t>
      </w:r>
    </w:p>
    <w:p w14:paraId="47317A97" w14:textId="77777777" w:rsidR="004E2E33" w:rsidRPr="001A695F" w:rsidRDefault="004E2E33" w:rsidP="004E2E33">
      <w:pPr>
        <w:pStyle w:val="ListParagraph"/>
        <w:numPr>
          <w:ilvl w:val="0"/>
          <w:numId w:val="47"/>
        </w:numPr>
        <w:spacing w:after="120" w:line="264" w:lineRule="auto"/>
        <w:ind w:left="363"/>
        <w:rPr>
          <w:rFonts w:cstheme="minorHAnsi"/>
          <w:color w:val="000000" w:themeColor="text1"/>
        </w:rPr>
      </w:pPr>
      <w:r w:rsidRPr="001A695F">
        <w:rPr>
          <w:rFonts w:cstheme="minorHAnsi"/>
          <w:color w:val="000000" w:themeColor="text1"/>
        </w:rPr>
        <w:t>The Board of Examiners may grant a supplementary assessment where a student:</w:t>
      </w:r>
    </w:p>
    <w:p w14:paraId="5038CB58" w14:textId="77777777" w:rsidR="004E2E33" w:rsidRPr="001A695F" w:rsidRDefault="004E2E33" w:rsidP="004E2E33">
      <w:pPr>
        <w:pStyle w:val="ListParagraph"/>
        <w:numPr>
          <w:ilvl w:val="0"/>
          <w:numId w:val="48"/>
        </w:numPr>
        <w:spacing w:after="120" w:line="264" w:lineRule="auto"/>
        <w:ind w:left="1061"/>
        <w:rPr>
          <w:rFonts w:cstheme="minorHAnsi"/>
          <w:color w:val="000000" w:themeColor="text1"/>
        </w:rPr>
      </w:pPr>
      <w:r w:rsidRPr="001A695F">
        <w:rPr>
          <w:rFonts w:cstheme="minorHAnsi"/>
          <w:color w:val="000000" w:themeColor="text1"/>
        </w:rPr>
        <w:t>achieves a total of 45% or more; and</w:t>
      </w:r>
    </w:p>
    <w:p w14:paraId="2DDDDCAA" w14:textId="77777777" w:rsidR="004E2E33" w:rsidRPr="001A695F" w:rsidRDefault="004E2E33" w:rsidP="004E2E33">
      <w:pPr>
        <w:pStyle w:val="ListParagraph"/>
        <w:numPr>
          <w:ilvl w:val="0"/>
          <w:numId w:val="48"/>
        </w:numPr>
        <w:spacing w:after="120" w:line="264" w:lineRule="auto"/>
        <w:ind w:left="1061"/>
        <w:rPr>
          <w:rFonts w:cstheme="minorHAnsi"/>
          <w:color w:val="000000" w:themeColor="text1"/>
        </w:rPr>
      </w:pPr>
      <w:r w:rsidRPr="001A695F">
        <w:rPr>
          <w:rFonts w:cstheme="minorHAnsi"/>
          <w:color w:val="000000" w:themeColor="text1"/>
        </w:rPr>
        <w:t>has passed all individual invigilated assessments in the unit; and</w:t>
      </w:r>
    </w:p>
    <w:p w14:paraId="33673C9A" w14:textId="77777777" w:rsidR="004E2E33" w:rsidRPr="001A695F" w:rsidRDefault="004E2E33" w:rsidP="004E2E33">
      <w:pPr>
        <w:pStyle w:val="ListParagraph"/>
        <w:numPr>
          <w:ilvl w:val="0"/>
          <w:numId w:val="48"/>
        </w:numPr>
        <w:spacing w:after="120" w:line="264" w:lineRule="auto"/>
        <w:ind w:left="1061"/>
        <w:rPr>
          <w:rFonts w:cstheme="minorHAnsi"/>
          <w:color w:val="000000" w:themeColor="text1"/>
        </w:rPr>
      </w:pPr>
      <w:r w:rsidRPr="001A695F">
        <w:rPr>
          <w:rFonts w:cstheme="minorHAnsi"/>
          <w:color w:val="000000" w:themeColor="text1"/>
        </w:rPr>
        <w:t>has attempted all assessments; and</w:t>
      </w:r>
    </w:p>
    <w:p w14:paraId="1A8CA76E" w14:textId="77777777" w:rsidR="004E2E33" w:rsidRPr="001A695F" w:rsidRDefault="004E2E33" w:rsidP="004E2E33">
      <w:pPr>
        <w:pStyle w:val="ListParagraph"/>
        <w:numPr>
          <w:ilvl w:val="0"/>
          <w:numId w:val="48"/>
        </w:numPr>
        <w:spacing w:after="120" w:line="264" w:lineRule="auto"/>
        <w:ind w:left="1061"/>
        <w:rPr>
          <w:rFonts w:cstheme="minorHAnsi"/>
          <w:color w:val="000000" w:themeColor="text1"/>
        </w:rPr>
      </w:pPr>
      <w:r w:rsidRPr="001A695F">
        <w:rPr>
          <w:rFonts w:cstheme="minorHAnsi"/>
          <w:color w:val="000000" w:themeColor="text1"/>
        </w:rPr>
        <w:lastRenderedPageBreak/>
        <w:t>has a recommendation for supplementary assessment by the Unit Coordinator and the Head of Discipline</w:t>
      </w:r>
      <w:r>
        <w:rPr>
          <w:rFonts w:cstheme="minorHAnsi"/>
          <w:color w:val="000000" w:themeColor="text1"/>
        </w:rPr>
        <w:t>.</w:t>
      </w:r>
    </w:p>
    <w:p w14:paraId="20FFE561" w14:textId="77777777" w:rsidR="004E2E33" w:rsidRDefault="004E2E33" w:rsidP="004E2E33">
      <w:pPr>
        <w:spacing w:after="120" w:line="264" w:lineRule="auto"/>
        <w:ind w:left="352"/>
        <w:rPr>
          <w:rFonts w:cstheme="minorHAnsi"/>
          <w:color w:val="000000" w:themeColor="text1"/>
        </w:rPr>
      </w:pPr>
      <w:r w:rsidRPr="001A695F">
        <w:rPr>
          <w:rFonts w:cstheme="minorHAnsi"/>
        </w:rPr>
        <w:t>Where one or more of these requirements are not met, the Board of Examiners will consider a student’s overall progress</w:t>
      </w:r>
      <w:r w:rsidRPr="001A695F">
        <w:rPr>
          <w:rFonts w:cstheme="minorHAnsi"/>
          <w:color w:val="000000" w:themeColor="text1"/>
        </w:rPr>
        <w:t xml:space="preserve"> towards meeting the unit learning outcomes and any special circumstances before reaching a decision.  Attendance and engagement in class will be considered.</w:t>
      </w:r>
    </w:p>
    <w:p w14:paraId="140F797B" w14:textId="77777777" w:rsidR="004E2E33" w:rsidRPr="001A695F" w:rsidRDefault="004E2E33" w:rsidP="004E2E33">
      <w:pPr>
        <w:pStyle w:val="ListParagraph"/>
        <w:numPr>
          <w:ilvl w:val="0"/>
          <w:numId w:val="47"/>
        </w:numPr>
        <w:spacing w:after="120" w:line="264" w:lineRule="auto"/>
        <w:ind w:left="357" w:hanging="357"/>
        <w:contextualSpacing w:val="0"/>
        <w:rPr>
          <w:rStyle w:val="Hyperlink"/>
          <w:rFonts w:cstheme="minorHAnsi"/>
          <w:color w:val="000000" w:themeColor="text1"/>
        </w:rPr>
      </w:pPr>
      <w:r w:rsidRPr="001A695F">
        <w:rPr>
          <w:rFonts w:cstheme="minorHAnsi"/>
          <w:color w:val="000000" w:themeColor="text1"/>
        </w:rPr>
        <w:t xml:space="preserve">APIC awards common </w:t>
      </w:r>
      <w:r w:rsidRPr="001A695F">
        <w:rPr>
          <w:rFonts w:cstheme="minorHAnsi"/>
        </w:rPr>
        <w:t>result grades as set out in the</w:t>
      </w:r>
      <w:r>
        <w:rPr>
          <w:rFonts w:cstheme="minorHAnsi"/>
        </w:rPr>
        <w:t xml:space="preserve"> </w:t>
      </w:r>
      <w:r w:rsidRPr="001A695F">
        <w:rPr>
          <w:rFonts w:cstheme="minorHAnsi"/>
        </w:rPr>
        <w:fldChar w:fldCharType="begin"/>
      </w:r>
      <w:r w:rsidRPr="001A695F">
        <w:rPr>
          <w:rFonts w:cstheme="minorHAnsi"/>
        </w:rPr>
        <w:instrText xml:space="preserve"> HYPERLINK "https://apicollege.edu.au/policies/Award_of_Grades_Policy.pdf" </w:instrText>
      </w:r>
      <w:r w:rsidRPr="001A695F">
        <w:rPr>
          <w:rFonts w:cstheme="minorHAnsi"/>
        </w:rPr>
      </w:r>
      <w:r w:rsidRPr="001A695F">
        <w:rPr>
          <w:rFonts w:cstheme="minorHAnsi"/>
        </w:rPr>
        <w:fldChar w:fldCharType="separate"/>
      </w:r>
      <w:r w:rsidRPr="001A695F">
        <w:rPr>
          <w:rStyle w:val="Hyperlink"/>
          <w:rFonts w:cstheme="minorHAnsi"/>
        </w:rPr>
        <w:t>Award of Grade Policy.</w:t>
      </w:r>
    </w:p>
    <w:p w14:paraId="30B422D9" w14:textId="77777777" w:rsidR="004E2E33" w:rsidRPr="001A695F" w:rsidRDefault="004E2E33" w:rsidP="004E2E33">
      <w:pPr>
        <w:pStyle w:val="ListParagraph"/>
        <w:numPr>
          <w:ilvl w:val="0"/>
          <w:numId w:val="47"/>
        </w:numPr>
        <w:spacing w:after="120" w:line="264" w:lineRule="auto"/>
        <w:ind w:left="357" w:hanging="357"/>
        <w:contextualSpacing w:val="0"/>
      </w:pPr>
      <w:r w:rsidRPr="001A695F">
        <w:fldChar w:fldCharType="end"/>
      </w:r>
      <w:r w:rsidRPr="001A695F">
        <w:t>Detailed information for each assessment can be found on the Unit’s Home Page and in the Assessment Brief.</w:t>
      </w:r>
    </w:p>
    <w:p w14:paraId="09A9BD65" w14:textId="77777777" w:rsidR="004E2E33" w:rsidRPr="00C104D3" w:rsidRDefault="004E2E33" w:rsidP="004E2E33">
      <w:pPr>
        <w:spacing w:line="264" w:lineRule="auto"/>
        <w:rPr>
          <w:rFonts w:cstheme="minorHAnsi"/>
          <w:b/>
          <w:bCs/>
          <w:color w:val="182958"/>
        </w:rPr>
      </w:pPr>
    </w:p>
    <w:p w14:paraId="4FD38802" w14:textId="77777777" w:rsidR="004E2E33" w:rsidRPr="001A695F" w:rsidRDefault="004E2E33" w:rsidP="004E2E33">
      <w:pPr>
        <w:spacing w:after="120" w:line="264" w:lineRule="auto"/>
      </w:pPr>
      <w:r w:rsidRPr="001A695F">
        <w:t>Detailed information for each assessment can be found on the Unit’s Home Page and in the Assessment Brief.</w:t>
      </w:r>
    </w:p>
    <w:tbl>
      <w:tblPr>
        <w:tblStyle w:val="TableGrid11"/>
        <w:tblpPr w:leftFromText="180" w:rightFromText="180" w:vertAnchor="text" w:horzAnchor="margin" w:tblpY="120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850"/>
        <w:gridCol w:w="1134"/>
        <w:gridCol w:w="1276"/>
        <w:gridCol w:w="851"/>
      </w:tblGrid>
      <w:tr w:rsidR="00C67FCD" w:rsidRPr="00C67FCD" w14:paraId="23DB7E53" w14:textId="77777777" w:rsidTr="00EC3446">
        <w:trPr>
          <w:cantSplit/>
          <w:trHeight w:val="419"/>
        </w:trPr>
        <w:tc>
          <w:tcPr>
            <w:tcW w:w="3652" w:type="dxa"/>
            <w:shd w:val="clear" w:color="auto" w:fill="B4C6E7" w:themeFill="accent1" w:themeFillTint="66"/>
          </w:tcPr>
          <w:p w14:paraId="19CAE4FE" w14:textId="77777777" w:rsidR="00C67FCD" w:rsidRPr="00C67FCD" w:rsidRDefault="00C67FCD" w:rsidP="00C67FCD">
            <w:pPr>
              <w:rPr>
                <w:rFonts w:cstheme="minorHAnsi"/>
                <w:b/>
                <w:color w:val="000000" w:themeColor="text1"/>
              </w:rPr>
            </w:pPr>
            <w:r w:rsidRPr="00C67FCD">
              <w:rPr>
                <w:rFonts w:cstheme="minorHAnsi"/>
                <w:b/>
                <w:color w:val="000000" w:themeColor="text1"/>
              </w:rPr>
              <w:t>Assessment Task</w:t>
            </w:r>
          </w:p>
          <w:p w14:paraId="17BF94FB" w14:textId="77777777" w:rsidR="00C67FCD" w:rsidRPr="00C67FCD" w:rsidRDefault="00C67FCD" w:rsidP="00C67FCD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14:paraId="2BC31735" w14:textId="77777777" w:rsidR="00C67FCD" w:rsidRPr="00C67FCD" w:rsidRDefault="00C67FCD" w:rsidP="00C67FC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67FCD">
              <w:rPr>
                <w:rFonts w:cstheme="minorHAnsi"/>
                <w:b/>
                <w:color w:val="000000" w:themeColor="text1"/>
                <w:sz w:val="18"/>
                <w:szCs w:val="18"/>
              </w:rPr>
              <w:t>Type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765E24AB" w14:textId="77777777" w:rsidR="00C67FCD" w:rsidRPr="00C67FCD" w:rsidRDefault="00C67FCD" w:rsidP="00C67FC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67FCD">
              <w:rPr>
                <w:rFonts w:cstheme="minorHAnsi"/>
                <w:b/>
                <w:color w:val="000000" w:themeColor="text1"/>
                <w:sz w:val="18"/>
                <w:szCs w:val="18"/>
              </w:rPr>
              <w:t>Weighting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4B19ADA" w14:textId="77777777" w:rsidR="00C67FCD" w:rsidRPr="00C67FCD" w:rsidRDefault="00C67FCD" w:rsidP="00C67FC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67FCD">
              <w:rPr>
                <w:rFonts w:cstheme="minorHAnsi"/>
                <w:b/>
                <w:color w:val="000000" w:themeColor="text1"/>
              </w:rPr>
              <w:t>Due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C8E51DE" w14:textId="77777777" w:rsidR="00C67FCD" w:rsidRPr="00C67FCD" w:rsidRDefault="00C67FCD" w:rsidP="00C67FC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67FCD">
              <w:rPr>
                <w:rFonts w:cstheme="minorHAnsi"/>
                <w:b/>
                <w:color w:val="000000" w:themeColor="text1"/>
              </w:rPr>
              <w:t>Length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7AE7A615" w14:textId="77777777" w:rsidR="00C67FCD" w:rsidRPr="00C67FCD" w:rsidRDefault="00C67FCD" w:rsidP="00C67FC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67FCD">
              <w:rPr>
                <w:rFonts w:cstheme="minorHAnsi"/>
                <w:b/>
                <w:color w:val="000000" w:themeColor="text1"/>
              </w:rPr>
              <w:t>ULOs</w:t>
            </w:r>
          </w:p>
        </w:tc>
      </w:tr>
      <w:tr w:rsidR="00C67FCD" w:rsidRPr="00C67FCD" w14:paraId="2AFAA6D0" w14:textId="77777777" w:rsidTr="00EC3446">
        <w:trPr>
          <w:cantSplit/>
          <w:trHeight w:val="686"/>
        </w:trPr>
        <w:tc>
          <w:tcPr>
            <w:tcW w:w="3652" w:type="dxa"/>
          </w:tcPr>
          <w:p w14:paraId="3689F205" w14:textId="77777777" w:rsidR="00C67FCD" w:rsidRPr="00C67FCD" w:rsidRDefault="00C67FCD" w:rsidP="00C67FC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67FCD">
              <w:rPr>
                <w:b/>
              </w:rPr>
              <w:t xml:space="preserve">Assessment 1: Laboratory Practicum </w:t>
            </w:r>
          </w:p>
        </w:tc>
        <w:tc>
          <w:tcPr>
            <w:tcW w:w="1276" w:type="dxa"/>
          </w:tcPr>
          <w:p w14:paraId="651688AC" w14:textId="77777777" w:rsidR="00C67FCD" w:rsidRPr="00C67FCD" w:rsidRDefault="00C67FCD" w:rsidP="00C67FCD">
            <w:pPr>
              <w:widowControl w:val="0"/>
              <w:autoSpaceDE w:val="0"/>
              <w:autoSpaceDN w:val="0"/>
              <w:spacing w:before="28" w:after="79"/>
              <w:ind w:left="136"/>
            </w:pPr>
            <w:r w:rsidRPr="00C67FCD">
              <w:rPr>
                <w:spacing w:val="-2"/>
              </w:rPr>
              <w:t>Individual</w:t>
            </w:r>
          </w:p>
          <w:p w14:paraId="2C862D0A" w14:textId="77777777" w:rsidR="00C67FCD" w:rsidRPr="00C67FCD" w:rsidRDefault="00C67FCD" w:rsidP="00C67FCD">
            <w:pPr>
              <w:widowControl w:val="0"/>
              <w:autoSpaceDE w:val="0"/>
              <w:autoSpaceDN w:val="0"/>
              <w:spacing w:line="240" w:lineRule="exact"/>
              <w:ind w:left="463"/>
            </w:pPr>
            <w:r w:rsidRPr="00C67FCD">
              <w:rPr>
                <w:noProof/>
                <w:position w:val="-4"/>
              </w:rPr>
              <w:drawing>
                <wp:inline distT="0" distB="0" distL="0" distR="0" wp14:anchorId="16055E04" wp14:editId="66F48403">
                  <wp:extent cx="143414" cy="152400"/>
                  <wp:effectExtent l="0" t="0" r="0" b="0"/>
                  <wp:docPr id="1490538748" name="Picture 1490538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1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7AAA75" w14:textId="77777777" w:rsidR="00C67FCD" w:rsidRPr="00C67FCD" w:rsidRDefault="00C67FCD" w:rsidP="00C67FCD">
            <w:pPr>
              <w:widowControl w:val="0"/>
              <w:autoSpaceDE w:val="0"/>
              <w:autoSpaceDN w:val="0"/>
              <w:spacing w:before="74"/>
              <w:ind w:left="107"/>
            </w:pPr>
            <w:r w:rsidRPr="00C67FCD">
              <w:rPr>
                <w:spacing w:val="-2"/>
              </w:rPr>
              <w:t>Invigilated</w:t>
            </w:r>
          </w:p>
          <w:p w14:paraId="26EA0B78" w14:textId="77777777" w:rsidR="00C67FCD" w:rsidRPr="00C67FCD" w:rsidRDefault="00C67FCD" w:rsidP="00C67FCD">
            <w:pPr>
              <w:widowControl w:val="0"/>
              <w:autoSpaceDE w:val="0"/>
              <w:autoSpaceDN w:val="0"/>
              <w:spacing w:before="11"/>
              <w:rPr>
                <w:sz w:val="3"/>
              </w:rPr>
            </w:pPr>
          </w:p>
          <w:p w14:paraId="7BC6C093" w14:textId="77777777" w:rsidR="00C67FCD" w:rsidRPr="00C67FCD" w:rsidRDefault="00C67FCD" w:rsidP="00C67FCD">
            <w:pPr>
              <w:widowControl w:val="0"/>
              <w:autoSpaceDE w:val="0"/>
              <w:autoSpaceDN w:val="0"/>
              <w:ind w:left="445"/>
            </w:pPr>
            <w:r w:rsidRPr="00C67FCD">
              <w:rPr>
                <w:noProof/>
              </w:rPr>
              <w:drawing>
                <wp:inline distT="0" distB="0" distL="0" distR="0" wp14:anchorId="4D7948A5" wp14:editId="40E4CED0">
                  <wp:extent cx="217932" cy="234696"/>
                  <wp:effectExtent l="0" t="0" r="0" b="0"/>
                  <wp:docPr id="570177051" name="Picture 570177051" descr="See the source imag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D6BA45" w14:textId="77777777" w:rsidR="00C67FCD" w:rsidRPr="00C67FCD" w:rsidRDefault="00C67FCD" w:rsidP="00C67FC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2B4AE13" w14:textId="77777777" w:rsidR="00C67FCD" w:rsidRPr="00C67FCD" w:rsidRDefault="00C67FCD" w:rsidP="00C67FCD">
            <w:pPr>
              <w:jc w:val="center"/>
              <w:rPr>
                <w:rFonts w:cstheme="minorHAnsi"/>
                <w:color w:val="000000" w:themeColor="text1"/>
              </w:rPr>
            </w:pPr>
            <w:r w:rsidRPr="00C67FCD">
              <w:t>20%</w:t>
            </w:r>
          </w:p>
        </w:tc>
        <w:tc>
          <w:tcPr>
            <w:tcW w:w="1134" w:type="dxa"/>
          </w:tcPr>
          <w:p w14:paraId="7886F3E7" w14:textId="77777777" w:rsidR="00C67FCD" w:rsidRPr="00C67FCD" w:rsidRDefault="00C67FCD" w:rsidP="00C67FCD">
            <w:pPr>
              <w:jc w:val="center"/>
              <w:rPr>
                <w:rFonts w:cstheme="minorHAnsi"/>
                <w:color w:val="000000" w:themeColor="text1"/>
              </w:rPr>
            </w:pPr>
            <w:r w:rsidRPr="00C67FCD">
              <w:t>Week 2, 3, 5, 7, 8</w:t>
            </w:r>
          </w:p>
        </w:tc>
        <w:tc>
          <w:tcPr>
            <w:tcW w:w="1276" w:type="dxa"/>
          </w:tcPr>
          <w:p w14:paraId="6C47DF6C" w14:textId="77777777" w:rsidR="00C67FCD" w:rsidRPr="00C67FCD" w:rsidRDefault="00C67FCD" w:rsidP="00C67FCD">
            <w:pPr>
              <w:jc w:val="center"/>
            </w:pPr>
            <w:r w:rsidRPr="00C67FCD">
              <w:t>(equiv.</w:t>
            </w:r>
          </w:p>
          <w:p w14:paraId="1C5331D7" w14:textId="77777777" w:rsidR="00C67FCD" w:rsidRPr="00C67FCD" w:rsidRDefault="00C67FCD" w:rsidP="00C67FCD">
            <w:pPr>
              <w:jc w:val="center"/>
            </w:pPr>
            <w:r w:rsidRPr="00C67FCD">
              <w:t>2000</w:t>
            </w:r>
          </w:p>
          <w:p w14:paraId="3EABC578" w14:textId="77777777" w:rsidR="00C67FCD" w:rsidRPr="00C67FCD" w:rsidRDefault="00C67FCD" w:rsidP="00C67FCD">
            <w:pPr>
              <w:jc w:val="center"/>
              <w:rPr>
                <w:color w:val="000000" w:themeColor="text1"/>
              </w:rPr>
            </w:pPr>
            <w:r w:rsidRPr="00C67FCD">
              <w:t>words)</w:t>
            </w:r>
          </w:p>
        </w:tc>
        <w:tc>
          <w:tcPr>
            <w:tcW w:w="851" w:type="dxa"/>
          </w:tcPr>
          <w:p w14:paraId="5EC3678E" w14:textId="77777777" w:rsidR="00C67FCD" w:rsidRPr="00C67FCD" w:rsidRDefault="00C67FCD" w:rsidP="00C67FCD">
            <w:pPr>
              <w:jc w:val="center"/>
            </w:pPr>
            <w:r w:rsidRPr="00C67FCD">
              <w:t>ULO1</w:t>
            </w:r>
          </w:p>
          <w:p w14:paraId="0968A00F" w14:textId="77777777" w:rsidR="00C67FCD" w:rsidRPr="00C67FCD" w:rsidRDefault="00C67FCD" w:rsidP="00C67FCD">
            <w:pPr>
              <w:jc w:val="center"/>
            </w:pPr>
            <w:r w:rsidRPr="00C67FCD">
              <w:t>ULO2</w:t>
            </w:r>
          </w:p>
          <w:p w14:paraId="0DD12164" w14:textId="77777777" w:rsidR="00C67FCD" w:rsidRPr="00C67FCD" w:rsidRDefault="00C67FCD" w:rsidP="00C67FCD">
            <w:pPr>
              <w:jc w:val="center"/>
              <w:rPr>
                <w:rFonts w:cstheme="minorHAnsi"/>
                <w:color w:val="000000" w:themeColor="text1"/>
              </w:rPr>
            </w:pPr>
            <w:r w:rsidRPr="00C67FCD">
              <w:t>ULO3</w:t>
            </w:r>
          </w:p>
        </w:tc>
      </w:tr>
      <w:tr w:rsidR="00C67FCD" w:rsidRPr="00C67FCD" w14:paraId="456C957A" w14:textId="77777777" w:rsidTr="00EC3446">
        <w:trPr>
          <w:cantSplit/>
          <w:trHeight w:val="686"/>
        </w:trPr>
        <w:tc>
          <w:tcPr>
            <w:tcW w:w="3652" w:type="dxa"/>
          </w:tcPr>
          <w:p w14:paraId="6CDE36DA" w14:textId="77777777" w:rsidR="00C67FCD" w:rsidRPr="00C67FCD" w:rsidRDefault="00C67FCD" w:rsidP="00C67FC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67FCD">
              <w:rPr>
                <w:b/>
              </w:rPr>
              <w:t>Assessment 2: In-class Quizzes</w:t>
            </w:r>
            <w:r w:rsidRPr="00C67FCD">
              <w:rPr>
                <w:rFonts w:cstheme="minorHAnsi"/>
              </w:rPr>
              <w:t xml:space="preserve"> </w:t>
            </w:r>
          </w:p>
          <w:p w14:paraId="23EB395D" w14:textId="77777777" w:rsidR="00C67FCD" w:rsidRPr="00C67FCD" w:rsidRDefault="00C67FCD" w:rsidP="00C67FCD">
            <w:pPr>
              <w:autoSpaceDE w:val="0"/>
              <w:autoSpaceDN w:val="0"/>
              <w:adjustRightInd w:val="0"/>
              <w:rPr>
                <w:b/>
              </w:rPr>
            </w:pPr>
            <w:r w:rsidRPr="00C67FCD">
              <w:rPr>
                <w:rFonts w:cstheme="minorHAnsi"/>
              </w:rPr>
              <w:t>Quiz of key content areas to identify further support needs.</w:t>
            </w:r>
          </w:p>
        </w:tc>
        <w:tc>
          <w:tcPr>
            <w:tcW w:w="1276" w:type="dxa"/>
          </w:tcPr>
          <w:p w14:paraId="12047B7B" w14:textId="77777777" w:rsidR="00C67FCD" w:rsidRPr="00C67FCD" w:rsidRDefault="00C67FCD" w:rsidP="00C67FCD">
            <w:pPr>
              <w:widowControl w:val="0"/>
              <w:autoSpaceDE w:val="0"/>
              <w:autoSpaceDN w:val="0"/>
              <w:spacing w:before="28" w:after="79"/>
              <w:ind w:left="136"/>
            </w:pPr>
            <w:r w:rsidRPr="00C67FCD">
              <w:rPr>
                <w:spacing w:val="-2"/>
              </w:rPr>
              <w:t>Individual</w:t>
            </w:r>
          </w:p>
          <w:p w14:paraId="5101D73A" w14:textId="77777777" w:rsidR="00C67FCD" w:rsidRPr="00C67FCD" w:rsidRDefault="00C67FCD" w:rsidP="00C67FCD">
            <w:pPr>
              <w:widowControl w:val="0"/>
              <w:autoSpaceDE w:val="0"/>
              <w:autoSpaceDN w:val="0"/>
              <w:spacing w:line="240" w:lineRule="exact"/>
              <w:ind w:left="463"/>
            </w:pPr>
            <w:r w:rsidRPr="00C67FCD">
              <w:rPr>
                <w:noProof/>
                <w:position w:val="-4"/>
              </w:rPr>
              <w:drawing>
                <wp:inline distT="0" distB="0" distL="0" distR="0" wp14:anchorId="24DED87B" wp14:editId="1423B523">
                  <wp:extent cx="143414" cy="152400"/>
                  <wp:effectExtent l="0" t="0" r="0" b="0"/>
                  <wp:docPr id="809552452" name="Picture 809552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1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AAB917" w14:textId="77777777" w:rsidR="00C67FCD" w:rsidRPr="00C67FCD" w:rsidRDefault="00C67FCD" w:rsidP="00C67FCD">
            <w:pPr>
              <w:widowControl w:val="0"/>
              <w:autoSpaceDE w:val="0"/>
              <w:autoSpaceDN w:val="0"/>
              <w:spacing w:before="74"/>
              <w:ind w:left="107"/>
            </w:pPr>
            <w:r w:rsidRPr="00C67FCD">
              <w:rPr>
                <w:spacing w:val="-2"/>
              </w:rPr>
              <w:t>Invigilated</w:t>
            </w:r>
          </w:p>
          <w:p w14:paraId="068B8C36" w14:textId="77777777" w:rsidR="00C67FCD" w:rsidRPr="00C67FCD" w:rsidRDefault="00C67FCD" w:rsidP="00C67FCD">
            <w:pPr>
              <w:widowControl w:val="0"/>
              <w:autoSpaceDE w:val="0"/>
              <w:autoSpaceDN w:val="0"/>
              <w:spacing w:before="11"/>
              <w:rPr>
                <w:sz w:val="3"/>
              </w:rPr>
            </w:pPr>
          </w:p>
          <w:p w14:paraId="328EB9D3" w14:textId="77777777" w:rsidR="00C67FCD" w:rsidRPr="00C67FCD" w:rsidRDefault="00C67FCD" w:rsidP="00C67FCD">
            <w:pPr>
              <w:widowControl w:val="0"/>
              <w:autoSpaceDE w:val="0"/>
              <w:autoSpaceDN w:val="0"/>
              <w:ind w:left="445"/>
            </w:pPr>
            <w:r w:rsidRPr="00C67FCD">
              <w:rPr>
                <w:noProof/>
              </w:rPr>
              <w:drawing>
                <wp:inline distT="0" distB="0" distL="0" distR="0" wp14:anchorId="38E8BA03" wp14:editId="5334C4B4">
                  <wp:extent cx="217932" cy="234696"/>
                  <wp:effectExtent l="0" t="0" r="0" b="0"/>
                  <wp:docPr id="1033340225" name="Picture 1033340225" descr="See the source imag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7BB510" w14:textId="77777777" w:rsidR="00C67FCD" w:rsidRPr="00C67FCD" w:rsidRDefault="00C67FCD" w:rsidP="00C67FCD">
            <w:pPr>
              <w:jc w:val="center"/>
              <w:rPr>
                <w:rFonts w:cstheme="minorHAnsi"/>
                <w:b/>
                <w:noProof/>
                <w:color w:val="000000" w:themeColor="text1"/>
              </w:rPr>
            </w:pPr>
          </w:p>
        </w:tc>
        <w:tc>
          <w:tcPr>
            <w:tcW w:w="850" w:type="dxa"/>
          </w:tcPr>
          <w:p w14:paraId="2CDDDF63" w14:textId="77777777" w:rsidR="00C67FCD" w:rsidRPr="00C67FCD" w:rsidRDefault="00C67FCD" w:rsidP="00C67FCD">
            <w:pPr>
              <w:jc w:val="center"/>
            </w:pPr>
            <w:r w:rsidRPr="00C67FCD">
              <w:t>20%</w:t>
            </w:r>
          </w:p>
        </w:tc>
        <w:tc>
          <w:tcPr>
            <w:tcW w:w="1134" w:type="dxa"/>
          </w:tcPr>
          <w:p w14:paraId="56CF91C2" w14:textId="77777777" w:rsidR="00C67FCD" w:rsidRPr="00C67FCD" w:rsidRDefault="00C67FCD" w:rsidP="00C67FCD">
            <w:pPr>
              <w:jc w:val="center"/>
            </w:pPr>
            <w:r w:rsidRPr="00C67FCD">
              <w:t xml:space="preserve">Week 6, 9 </w:t>
            </w:r>
          </w:p>
        </w:tc>
        <w:tc>
          <w:tcPr>
            <w:tcW w:w="1276" w:type="dxa"/>
          </w:tcPr>
          <w:p w14:paraId="7417B38A" w14:textId="77777777" w:rsidR="00C67FCD" w:rsidRPr="00C67FCD" w:rsidRDefault="00C67FCD" w:rsidP="00C67FCD">
            <w:pPr>
              <w:jc w:val="center"/>
            </w:pPr>
            <w:r w:rsidRPr="00C67FCD">
              <w:t>each 15 minutes</w:t>
            </w:r>
          </w:p>
          <w:p w14:paraId="4C4F9CD5" w14:textId="77777777" w:rsidR="00C67FCD" w:rsidRPr="00C67FCD" w:rsidRDefault="00C67FCD" w:rsidP="00C67FCD">
            <w:pPr>
              <w:jc w:val="center"/>
            </w:pPr>
          </w:p>
          <w:p w14:paraId="25408035" w14:textId="77777777" w:rsidR="00C67FCD" w:rsidRPr="00C67FCD" w:rsidRDefault="00C67FCD" w:rsidP="00C67FCD">
            <w:pPr>
              <w:jc w:val="center"/>
            </w:pPr>
            <w:r w:rsidRPr="00C67FCD">
              <w:t>(equiv.</w:t>
            </w:r>
          </w:p>
          <w:p w14:paraId="36832927" w14:textId="77777777" w:rsidR="00C67FCD" w:rsidRPr="00C67FCD" w:rsidRDefault="00C67FCD" w:rsidP="00C67FCD">
            <w:pPr>
              <w:jc w:val="center"/>
            </w:pPr>
            <w:r w:rsidRPr="00C67FCD">
              <w:t>2000</w:t>
            </w:r>
          </w:p>
          <w:p w14:paraId="60CE83F9" w14:textId="77777777" w:rsidR="00C67FCD" w:rsidRPr="00C67FCD" w:rsidRDefault="00C67FCD" w:rsidP="00C67FCD">
            <w:pPr>
              <w:jc w:val="center"/>
            </w:pPr>
            <w:r w:rsidRPr="00C67FCD">
              <w:t>words)</w:t>
            </w:r>
          </w:p>
        </w:tc>
        <w:tc>
          <w:tcPr>
            <w:tcW w:w="851" w:type="dxa"/>
          </w:tcPr>
          <w:p w14:paraId="6DA9DA3F" w14:textId="77777777" w:rsidR="00C67FCD" w:rsidRPr="00C67FCD" w:rsidRDefault="00C67FCD" w:rsidP="00C67FCD">
            <w:pPr>
              <w:jc w:val="center"/>
            </w:pPr>
            <w:r w:rsidRPr="00C67FCD">
              <w:t>ULO1</w:t>
            </w:r>
          </w:p>
          <w:p w14:paraId="28268738" w14:textId="77777777" w:rsidR="00C67FCD" w:rsidRPr="00C67FCD" w:rsidRDefault="00C67FCD" w:rsidP="00C67FCD">
            <w:pPr>
              <w:jc w:val="center"/>
            </w:pPr>
            <w:r w:rsidRPr="00C67FCD">
              <w:t>ULO2</w:t>
            </w:r>
          </w:p>
          <w:p w14:paraId="691E2B36" w14:textId="77777777" w:rsidR="00C67FCD" w:rsidRPr="00C67FCD" w:rsidRDefault="00C67FCD" w:rsidP="00C67FCD">
            <w:pPr>
              <w:jc w:val="center"/>
            </w:pPr>
            <w:r w:rsidRPr="00C67FCD">
              <w:t>ULO3</w:t>
            </w:r>
          </w:p>
        </w:tc>
      </w:tr>
      <w:tr w:rsidR="00C67FCD" w:rsidRPr="00C67FCD" w14:paraId="6791D92B" w14:textId="77777777" w:rsidTr="00EC3446">
        <w:trPr>
          <w:cantSplit/>
          <w:trHeight w:val="1143"/>
        </w:trPr>
        <w:tc>
          <w:tcPr>
            <w:tcW w:w="3652" w:type="dxa"/>
          </w:tcPr>
          <w:p w14:paraId="71AF4182" w14:textId="77777777" w:rsidR="00C67FCD" w:rsidRPr="00C67FCD" w:rsidRDefault="00C67FCD" w:rsidP="00C67FCD">
            <w:r w:rsidRPr="00C67FCD">
              <w:rPr>
                <w:b/>
              </w:rPr>
              <w:t>Assessment 3: Case Study: Part 1</w:t>
            </w:r>
            <w:r w:rsidRPr="00C67FCD">
              <w:t xml:space="preserve"> </w:t>
            </w:r>
          </w:p>
          <w:p w14:paraId="6B711069" w14:textId="77777777" w:rsidR="00C67FCD" w:rsidRPr="00C67FCD" w:rsidRDefault="00C67FCD" w:rsidP="00C67FCD">
            <w:r w:rsidRPr="00C67FCD">
              <w:t>Cause Analysis &amp; Stakeholder Impact Analysis</w:t>
            </w:r>
          </w:p>
        </w:tc>
        <w:tc>
          <w:tcPr>
            <w:tcW w:w="1276" w:type="dxa"/>
          </w:tcPr>
          <w:p w14:paraId="6B8F7378" w14:textId="77777777" w:rsidR="00C67FCD" w:rsidRPr="00C67FCD" w:rsidRDefault="00C67FCD" w:rsidP="00C67FCD">
            <w:pPr>
              <w:widowControl w:val="0"/>
              <w:autoSpaceDE w:val="0"/>
              <w:autoSpaceDN w:val="0"/>
              <w:spacing w:before="28" w:after="79"/>
              <w:ind w:left="136"/>
            </w:pPr>
            <w:r w:rsidRPr="00C67FCD">
              <w:rPr>
                <w:spacing w:val="-2"/>
              </w:rPr>
              <w:t xml:space="preserve"> Individual</w:t>
            </w:r>
          </w:p>
          <w:p w14:paraId="794DAF03" w14:textId="77777777" w:rsidR="00C67FCD" w:rsidRPr="00C67FCD" w:rsidRDefault="00C67FCD" w:rsidP="00C67FCD">
            <w:pPr>
              <w:widowControl w:val="0"/>
              <w:autoSpaceDE w:val="0"/>
              <w:autoSpaceDN w:val="0"/>
              <w:spacing w:line="240" w:lineRule="exact"/>
              <w:ind w:left="463"/>
            </w:pPr>
            <w:r w:rsidRPr="00C67FCD">
              <w:rPr>
                <w:noProof/>
                <w:position w:val="-4"/>
              </w:rPr>
              <w:drawing>
                <wp:inline distT="0" distB="0" distL="0" distR="0" wp14:anchorId="2A6B0F66" wp14:editId="683A8602">
                  <wp:extent cx="143414" cy="152400"/>
                  <wp:effectExtent l="0" t="0" r="0" b="0"/>
                  <wp:docPr id="394964855" name="Picture 394964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1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400000" w14:textId="77777777" w:rsidR="00C67FCD" w:rsidRPr="00C67FCD" w:rsidRDefault="00C67FCD" w:rsidP="00C67FCD">
            <w:pPr>
              <w:jc w:val="center"/>
              <w:rPr>
                <w:rFonts w:cstheme="minorHAnsi"/>
                <w:b/>
                <w:noProof/>
                <w:color w:val="000000" w:themeColor="text1"/>
              </w:rPr>
            </w:pPr>
          </w:p>
        </w:tc>
        <w:tc>
          <w:tcPr>
            <w:tcW w:w="850" w:type="dxa"/>
          </w:tcPr>
          <w:p w14:paraId="164CC7DC" w14:textId="77777777" w:rsidR="00C67FCD" w:rsidRPr="00C67FCD" w:rsidRDefault="00C67FCD" w:rsidP="00C67FCD">
            <w:pPr>
              <w:jc w:val="center"/>
            </w:pPr>
            <w:r w:rsidRPr="00C67FCD">
              <w:t>20%</w:t>
            </w:r>
          </w:p>
        </w:tc>
        <w:tc>
          <w:tcPr>
            <w:tcW w:w="1134" w:type="dxa"/>
          </w:tcPr>
          <w:p w14:paraId="1A9BFDD1" w14:textId="77777777" w:rsidR="00C67FCD" w:rsidRPr="00C67FCD" w:rsidRDefault="00C67FCD" w:rsidP="00C67FCD">
            <w:pPr>
              <w:jc w:val="center"/>
            </w:pPr>
            <w:r w:rsidRPr="00C67FCD">
              <w:t>Week 5</w:t>
            </w:r>
          </w:p>
        </w:tc>
        <w:tc>
          <w:tcPr>
            <w:tcW w:w="1276" w:type="dxa"/>
          </w:tcPr>
          <w:p w14:paraId="6D650BEC" w14:textId="77777777" w:rsidR="00C67FCD" w:rsidRPr="00C67FCD" w:rsidRDefault="00C67FCD" w:rsidP="00C67FCD">
            <w:pPr>
              <w:jc w:val="center"/>
            </w:pPr>
            <w:r w:rsidRPr="00C67FCD">
              <w:t>1000 words</w:t>
            </w:r>
          </w:p>
        </w:tc>
        <w:tc>
          <w:tcPr>
            <w:tcW w:w="851" w:type="dxa"/>
          </w:tcPr>
          <w:p w14:paraId="58874422" w14:textId="77777777" w:rsidR="00C67FCD" w:rsidRPr="00C67FCD" w:rsidRDefault="00C67FCD" w:rsidP="00C67FCD">
            <w:pPr>
              <w:jc w:val="center"/>
            </w:pPr>
            <w:r w:rsidRPr="00C67FCD">
              <w:t>ULO1</w:t>
            </w:r>
          </w:p>
          <w:p w14:paraId="584DBFAA" w14:textId="77777777" w:rsidR="00C67FCD" w:rsidRPr="00C67FCD" w:rsidRDefault="00C67FCD" w:rsidP="00C67FCD">
            <w:pPr>
              <w:jc w:val="center"/>
            </w:pPr>
            <w:r w:rsidRPr="00C67FCD">
              <w:t>ULO3</w:t>
            </w:r>
          </w:p>
          <w:p w14:paraId="39BECB81" w14:textId="77777777" w:rsidR="00C67FCD" w:rsidRPr="00C67FCD" w:rsidRDefault="00C67FCD" w:rsidP="00C67FCD">
            <w:pPr>
              <w:jc w:val="center"/>
            </w:pPr>
            <w:r w:rsidRPr="00C67FCD">
              <w:t>ULO4</w:t>
            </w:r>
          </w:p>
        </w:tc>
      </w:tr>
      <w:tr w:rsidR="00C67FCD" w:rsidRPr="00C67FCD" w14:paraId="72D2A4B3" w14:textId="77777777" w:rsidTr="00EC3446">
        <w:trPr>
          <w:cantSplit/>
          <w:trHeight w:val="1748"/>
        </w:trPr>
        <w:tc>
          <w:tcPr>
            <w:tcW w:w="3652" w:type="dxa"/>
          </w:tcPr>
          <w:p w14:paraId="6145477F" w14:textId="77777777" w:rsidR="00C67FCD" w:rsidRPr="00C67FCD" w:rsidRDefault="00C67FCD" w:rsidP="00C67FCD">
            <w:r w:rsidRPr="00C67FCD">
              <w:rPr>
                <w:b/>
              </w:rPr>
              <w:t>Assessment 4: Case Study: Part 2</w:t>
            </w:r>
            <w:r w:rsidRPr="00C67FCD">
              <w:t xml:space="preserve"> </w:t>
            </w:r>
          </w:p>
          <w:p w14:paraId="39D4BD29" w14:textId="77777777" w:rsidR="00C67FCD" w:rsidRPr="00C67FCD" w:rsidRDefault="00C67FCD" w:rsidP="00C67FCD">
            <w:r w:rsidRPr="00C67FCD">
              <w:t>Final security incident response plan with firewall Log Analysis, Incident report and remediation plan including constraint analysis of projected actions.</w:t>
            </w:r>
          </w:p>
        </w:tc>
        <w:tc>
          <w:tcPr>
            <w:tcW w:w="1276" w:type="dxa"/>
          </w:tcPr>
          <w:p w14:paraId="3169A88F" w14:textId="77777777" w:rsidR="00C67FCD" w:rsidRPr="00C67FCD" w:rsidRDefault="00C67FCD" w:rsidP="00C67FCD">
            <w:pPr>
              <w:widowControl w:val="0"/>
              <w:autoSpaceDE w:val="0"/>
              <w:autoSpaceDN w:val="0"/>
              <w:spacing w:before="28" w:after="79"/>
              <w:ind w:left="136"/>
            </w:pPr>
            <w:r w:rsidRPr="00C67FCD">
              <w:rPr>
                <w:spacing w:val="-2"/>
              </w:rPr>
              <w:t>Individual</w:t>
            </w:r>
          </w:p>
          <w:p w14:paraId="3D74478C" w14:textId="77777777" w:rsidR="00C67FCD" w:rsidRPr="00C67FCD" w:rsidRDefault="00C67FCD" w:rsidP="00C67FCD">
            <w:pPr>
              <w:widowControl w:val="0"/>
              <w:autoSpaceDE w:val="0"/>
              <w:autoSpaceDN w:val="0"/>
              <w:spacing w:line="240" w:lineRule="exact"/>
              <w:ind w:left="463"/>
            </w:pPr>
            <w:r w:rsidRPr="00C67FCD">
              <w:rPr>
                <w:noProof/>
                <w:position w:val="-4"/>
              </w:rPr>
              <w:drawing>
                <wp:inline distT="0" distB="0" distL="0" distR="0" wp14:anchorId="2833DF48" wp14:editId="69099DDA">
                  <wp:extent cx="143414" cy="152400"/>
                  <wp:effectExtent l="0" t="0" r="0" b="0"/>
                  <wp:docPr id="104937590" name="Picture 104937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1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E99848" w14:textId="77777777" w:rsidR="00C67FCD" w:rsidRPr="00C67FCD" w:rsidRDefault="00C67FCD" w:rsidP="00C67FCD">
            <w:pPr>
              <w:jc w:val="center"/>
              <w:rPr>
                <w:rFonts w:cstheme="minorHAnsi"/>
                <w:b/>
                <w:noProof/>
                <w:color w:val="000000" w:themeColor="text1"/>
              </w:rPr>
            </w:pPr>
          </w:p>
        </w:tc>
        <w:tc>
          <w:tcPr>
            <w:tcW w:w="850" w:type="dxa"/>
          </w:tcPr>
          <w:p w14:paraId="0C83D482" w14:textId="77777777" w:rsidR="00C67FCD" w:rsidRPr="00C67FCD" w:rsidRDefault="00C67FCD" w:rsidP="00C67FCD">
            <w:pPr>
              <w:jc w:val="center"/>
            </w:pPr>
            <w:r w:rsidRPr="00C67FCD">
              <w:t>40%</w:t>
            </w:r>
          </w:p>
        </w:tc>
        <w:tc>
          <w:tcPr>
            <w:tcW w:w="1134" w:type="dxa"/>
          </w:tcPr>
          <w:p w14:paraId="387C243E" w14:textId="77777777" w:rsidR="00C67FCD" w:rsidRPr="00C67FCD" w:rsidRDefault="00C67FCD" w:rsidP="00C67FCD">
            <w:pPr>
              <w:jc w:val="center"/>
            </w:pPr>
            <w:r w:rsidRPr="00C67FCD">
              <w:t>Week 12</w:t>
            </w:r>
          </w:p>
        </w:tc>
        <w:tc>
          <w:tcPr>
            <w:tcW w:w="1276" w:type="dxa"/>
          </w:tcPr>
          <w:p w14:paraId="0D872E07" w14:textId="77777777" w:rsidR="00C67FCD" w:rsidRPr="00C67FCD" w:rsidRDefault="00C67FCD" w:rsidP="00C67FCD">
            <w:pPr>
              <w:jc w:val="center"/>
            </w:pPr>
            <w:r w:rsidRPr="00C67FCD">
              <w:t>4500 words</w:t>
            </w:r>
          </w:p>
        </w:tc>
        <w:tc>
          <w:tcPr>
            <w:tcW w:w="851" w:type="dxa"/>
          </w:tcPr>
          <w:p w14:paraId="15FD6B4F" w14:textId="77777777" w:rsidR="00C67FCD" w:rsidRPr="00C67FCD" w:rsidRDefault="00C67FCD" w:rsidP="00C67FCD">
            <w:pPr>
              <w:jc w:val="center"/>
            </w:pPr>
            <w:r w:rsidRPr="00C67FCD">
              <w:t>ULO2</w:t>
            </w:r>
          </w:p>
          <w:p w14:paraId="360A61FC" w14:textId="77777777" w:rsidR="00C67FCD" w:rsidRPr="00C67FCD" w:rsidRDefault="00C67FCD" w:rsidP="00C67FCD">
            <w:pPr>
              <w:jc w:val="center"/>
            </w:pPr>
            <w:r w:rsidRPr="00C67FCD">
              <w:t>ULO4</w:t>
            </w:r>
          </w:p>
          <w:p w14:paraId="475DC16F" w14:textId="77777777" w:rsidR="00C67FCD" w:rsidRPr="00C67FCD" w:rsidRDefault="00C67FCD" w:rsidP="00C67FCD">
            <w:pPr>
              <w:jc w:val="center"/>
            </w:pPr>
            <w:r w:rsidRPr="00C67FCD">
              <w:t>ULO5</w:t>
            </w:r>
          </w:p>
        </w:tc>
      </w:tr>
    </w:tbl>
    <w:p w14:paraId="39893064" w14:textId="7CE51876" w:rsidR="00D62E35" w:rsidRPr="00314F54" w:rsidRDefault="00D62E35" w:rsidP="00D62E35">
      <w:pPr>
        <w:spacing w:after="0" w:line="240" w:lineRule="auto"/>
        <w:contextualSpacing/>
        <w:rPr>
          <w:color w:val="FF0000"/>
          <w:sz w:val="24"/>
          <w:szCs w:val="24"/>
        </w:rPr>
      </w:pPr>
      <w:r>
        <w:rPr>
          <w:color w:val="000000" w:themeColor="text1"/>
          <w:sz w:val="20"/>
          <w:szCs w:val="24"/>
        </w:rPr>
        <w:t>e</w:t>
      </w:r>
      <w:r w:rsidRPr="00023DD6">
        <w:rPr>
          <w:color w:val="000000" w:themeColor="text1"/>
          <w:sz w:val="20"/>
          <w:szCs w:val="24"/>
        </w:rPr>
        <w:t>quiv. – equivalent word count based on the Assessment Load Equivalence Guide.</w:t>
      </w:r>
    </w:p>
    <w:p w14:paraId="582BB226" w14:textId="77777777" w:rsidR="00162C20" w:rsidRDefault="00162C20" w:rsidP="00305D33">
      <w:pPr>
        <w:spacing w:after="0" w:line="240" w:lineRule="auto"/>
        <w:rPr>
          <w:rFonts w:cstheme="minorHAnsi"/>
          <w:b/>
          <w:color w:val="1F3864" w:themeColor="accent1" w:themeShade="80"/>
          <w:u w:val="single"/>
        </w:rPr>
      </w:pPr>
    </w:p>
    <w:p w14:paraId="35E31F70" w14:textId="501644F3" w:rsidR="00305D33" w:rsidRPr="00E56E71" w:rsidRDefault="0024001D" w:rsidP="00305D33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E56E71">
        <w:rPr>
          <w:rFonts w:cstheme="minorHAnsi"/>
          <w:b/>
          <w:color w:val="1F3864" w:themeColor="accent1" w:themeShade="80"/>
          <w:sz w:val="24"/>
          <w:szCs w:val="24"/>
        </w:rPr>
        <w:t>Course Reserve</w:t>
      </w:r>
    </w:p>
    <w:p w14:paraId="00EF57CF" w14:textId="0761C1BA" w:rsidR="0046533F" w:rsidRDefault="00C36CD3" w:rsidP="00305D33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</w:t>
      </w:r>
      <w:r w:rsidRPr="00B5346E">
        <w:rPr>
          <w:rFonts w:cstheme="minorHAnsi"/>
          <w:bCs/>
        </w:rPr>
        <w:t xml:space="preserve">ourse </w:t>
      </w:r>
      <w:r>
        <w:rPr>
          <w:rFonts w:cstheme="minorHAnsi"/>
          <w:bCs/>
        </w:rPr>
        <w:t>R</w:t>
      </w:r>
      <w:r w:rsidRPr="00B5346E">
        <w:rPr>
          <w:rFonts w:cstheme="minorHAnsi"/>
          <w:bCs/>
        </w:rPr>
        <w:t xml:space="preserve">eserve </w:t>
      </w:r>
      <w:r w:rsidR="0024001D" w:rsidRPr="00B5346E">
        <w:rPr>
          <w:rFonts w:cstheme="minorHAnsi"/>
          <w:bCs/>
        </w:rPr>
        <w:t>include</w:t>
      </w:r>
      <w:r w:rsidR="00504727" w:rsidRPr="00B5346E">
        <w:rPr>
          <w:rFonts w:cstheme="minorHAnsi"/>
          <w:bCs/>
        </w:rPr>
        <w:t>s all required resources and reading material for the unit of study.</w:t>
      </w:r>
      <w:r>
        <w:rPr>
          <w:rFonts w:cstheme="minorHAnsi"/>
          <w:bCs/>
        </w:rPr>
        <w:t xml:space="preserve"> </w:t>
      </w:r>
      <w:r w:rsidR="00504727" w:rsidRPr="00B5346E">
        <w:rPr>
          <w:rFonts w:cstheme="minorHAnsi"/>
          <w:bCs/>
        </w:rPr>
        <w:t xml:space="preserve">You </w:t>
      </w:r>
      <w:r w:rsidR="0024001D" w:rsidRPr="00B5346E">
        <w:rPr>
          <w:rFonts w:cstheme="minorHAnsi"/>
          <w:bCs/>
        </w:rPr>
        <w:t>can access</w:t>
      </w:r>
      <w:r w:rsidR="0046533F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Course Reserve </w:t>
      </w:r>
      <w:r w:rsidR="002C73C5">
        <w:rPr>
          <w:rFonts w:cstheme="minorHAnsi"/>
          <w:bCs/>
        </w:rPr>
        <w:t xml:space="preserve">via </w:t>
      </w:r>
      <w:hyperlink r:id="rId13" w:history="1">
        <w:r w:rsidR="0024001D" w:rsidRPr="00433C12">
          <w:rPr>
            <w:rStyle w:val="Hyperlink"/>
            <w:rFonts w:cstheme="minorHAnsi"/>
            <w:bCs/>
          </w:rPr>
          <w:t>APIC Library</w:t>
        </w:r>
      </w:hyperlink>
      <w:r w:rsidR="002C73C5">
        <w:rPr>
          <w:rFonts w:cstheme="minorHAnsi"/>
          <w:bCs/>
        </w:rPr>
        <w:t xml:space="preserve"> or via the Course Reserve link on the </w:t>
      </w:r>
      <w:r w:rsidR="0024001D" w:rsidRPr="00B5346E">
        <w:rPr>
          <w:rFonts w:cstheme="minorHAnsi"/>
          <w:bCs/>
        </w:rPr>
        <w:t xml:space="preserve">unit’s </w:t>
      </w:r>
      <w:r w:rsidR="0024001D" w:rsidRPr="001A63F7">
        <w:rPr>
          <w:rFonts w:cstheme="minorHAnsi"/>
          <w:bCs/>
        </w:rPr>
        <w:t>homepage</w:t>
      </w:r>
      <w:r w:rsidR="0046533F" w:rsidRPr="001A63F7">
        <w:rPr>
          <w:rFonts w:cstheme="minorHAnsi"/>
          <w:bCs/>
        </w:rPr>
        <w:t>.</w:t>
      </w:r>
    </w:p>
    <w:p w14:paraId="7C6AC345" w14:textId="77777777" w:rsidR="00887018" w:rsidRDefault="00887018" w:rsidP="00305D33">
      <w:pPr>
        <w:spacing w:after="0" w:line="240" w:lineRule="auto"/>
        <w:rPr>
          <w:rFonts w:cstheme="minorHAnsi"/>
          <w:bCs/>
        </w:rPr>
      </w:pPr>
    </w:p>
    <w:p w14:paraId="1BAA344A" w14:textId="77777777" w:rsidR="00F30114" w:rsidRDefault="00887018" w:rsidP="001E6DEA">
      <w:pPr>
        <w:spacing w:after="0" w:line="240" w:lineRule="auto"/>
        <w:rPr>
          <w:rFonts w:cstheme="minorHAnsi"/>
          <w:b/>
        </w:rPr>
      </w:pPr>
      <w:r w:rsidRPr="00956981">
        <w:rPr>
          <w:rFonts w:cstheme="minorHAnsi"/>
          <w:b/>
        </w:rPr>
        <w:t>Prescribed text(s):</w:t>
      </w:r>
    </w:p>
    <w:p w14:paraId="55B634FB" w14:textId="61258989" w:rsidR="00AF38D5" w:rsidRPr="00AF38D5" w:rsidRDefault="00D61009" w:rsidP="00022CDF">
      <w:pPr>
        <w:spacing w:after="0"/>
        <w:rPr>
          <w:bCs/>
        </w:rPr>
      </w:pPr>
      <w:r w:rsidRPr="00AF38D5">
        <w:rPr>
          <w:bCs/>
        </w:rPr>
        <w:t>Wi</w:t>
      </w:r>
      <w:r>
        <w:rPr>
          <w:bCs/>
        </w:rPr>
        <w:t xml:space="preserve">lls, M., 2019, </w:t>
      </w:r>
      <w:r w:rsidR="00AF38D5" w:rsidRPr="00AF38D5">
        <w:rPr>
          <w:bCs/>
        </w:rPr>
        <w:t>The Official (ISC)2 SSCP CBK Reference</w:t>
      </w:r>
      <w:r>
        <w:rPr>
          <w:bCs/>
        </w:rPr>
        <w:t>: Amazon.com.au: Books</w:t>
      </w:r>
      <w:r w:rsidR="00AF38D5" w:rsidRPr="00AF38D5">
        <w:rPr>
          <w:bCs/>
        </w:rPr>
        <w:t xml:space="preserve">. </w:t>
      </w:r>
    </w:p>
    <w:p w14:paraId="54E2FEBB" w14:textId="77777777" w:rsidR="002A7685" w:rsidRPr="002A7685" w:rsidRDefault="002A7685" w:rsidP="002A7685">
      <w:pPr>
        <w:spacing w:after="0" w:line="240" w:lineRule="auto"/>
        <w:rPr>
          <w:rFonts w:cstheme="minorHAnsi"/>
          <w:bCs/>
        </w:rPr>
      </w:pPr>
    </w:p>
    <w:p w14:paraId="29ACD1AE" w14:textId="77777777" w:rsidR="00273076" w:rsidRDefault="00273076" w:rsidP="00273076">
      <w:pPr>
        <w:pStyle w:val="paragraph"/>
        <w:spacing w:before="0" w:beforeAutospacing="0" w:after="0" w:afterAutospacing="0"/>
        <w:ind w:left="705" w:hanging="72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1E6DEA">
        <w:rPr>
          <w:rFonts w:asciiTheme="minorHAnsi" w:hAnsiTheme="minorHAnsi" w:cstheme="minorHAnsi"/>
          <w:b/>
          <w:bCs/>
          <w:sz w:val="22"/>
          <w:szCs w:val="22"/>
        </w:rPr>
        <w:t xml:space="preserve">Recommended Readings:  </w:t>
      </w:r>
    </w:p>
    <w:p w14:paraId="65F4DA6C" w14:textId="77777777" w:rsidR="00273076" w:rsidRDefault="00273076" w:rsidP="00273076">
      <w:pPr>
        <w:pStyle w:val="paragraph"/>
        <w:spacing w:before="0" w:beforeAutospacing="0" w:after="0" w:afterAutospacing="0"/>
        <w:ind w:left="705" w:hanging="72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3860A46A" w14:textId="77777777" w:rsidR="00273076" w:rsidRPr="00981FF2" w:rsidRDefault="00273076" w:rsidP="00273076">
      <w:pPr>
        <w:spacing w:after="0" w:line="240" w:lineRule="auto"/>
        <w:rPr>
          <w:rFonts w:cstheme="minorHAnsi"/>
          <w:bCs/>
        </w:rPr>
      </w:pPr>
      <w:r w:rsidRPr="00981FF2">
        <w:rPr>
          <w:rFonts w:cstheme="minorHAnsi"/>
          <w:bCs/>
        </w:rPr>
        <w:t>Chapple, M. and Seidl, D., 2021. Cyberwarfare: Information operations in a connected world. Jones &amp; Bartlett Learning.</w:t>
      </w:r>
    </w:p>
    <w:p w14:paraId="7D6C55BF" w14:textId="77777777" w:rsidR="00273076" w:rsidRDefault="00273076" w:rsidP="00273076">
      <w:pPr>
        <w:pStyle w:val="paragraph"/>
        <w:spacing w:before="0" w:beforeAutospacing="0" w:after="0" w:afterAutospacing="0"/>
        <w:ind w:left="705" w:hanging="72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0239C329" w14:textId="591E8B04" w:rsidR="00273076" w:rsidRPr="00015436" w:rsidRDefault="00273076" w:rsidP="00273076">
      <w:pPr>
        <w:rPr>
          <w:bCs/>
        </w:rPr>
      </w:pPr>
      <w:r w:rsidRPr="00015436">
        <w:rPr>
          <w:bCs/>
        </w:rPr>
        <w:t xml:space="preserve">Charles P, P. and Shari Lawrence, P., 2015. Security in Computing FIFTH EDITION. </w:t>
      </w:r>
    </w:p>
    <w:p w14:paraId="7D00AD92" w14:textId="77777777" w:rsidR="00273076" w:rsidRPr="00567D33" w:rsidRDefault="00273076" w:rsidP="00273076">
      <w:pPr>
        <w:rPr>
          <w:bCs/>
        </w:rPr>
      </w:pPr>
      <w:r w:rsidRPr="00015436">
        <w:rPr>
          <w:bCs/>
        </w:rPr>
        <w:t>Stallings, W., 2011. Cryptography and network security: principles and practice.</w:t>
      </w:r>
    </w:p>
    <w:p w14:paraId="622663C6" w14:textId="0A8A600C" w:rsidR="001F6DAF" w:rsidRDefault="001F6DAF" w:rsidP="00162C20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12F51BD9" w14:textId="75CE7CFE" w:rsidR="00162C20" w:rsidRPr="00E56E71" w:rsidRDefault="00162C20" w:rsidP="00162C20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E56E71">
        <w:rPr>
          <w:rFonts w:cstheme="minorHAnsi"/>
          <w:b/>
          <w:color w:val="1F3864" w:themeColor="accent1" w:themeShade="80"/>
          <w:sz w:val="24"/>
          <w:szCs w:val="24"/>
        </w:rPr>
        <w:t>Academic integrity</w:t>
      </w:r>
    </w:p>
    <w:p w14:paraId="0DFD1634" w14:textId="1924A3C9" w:rsidR="00E56E71" w:rsidRPr="008542F4" w:rsidRDefault="00162C20" w:rsidP="008542F4">
      <w:pPr>
        <w:rPr>
          <w:rFonts w:cstheme="minorHAnsi"/>
          <w:color w:val="000000" w:themeColor="text1"/>
        </w:rPr>
      </w:pPr>
      <w:r w:rsidRPr="00A52649">
        <w:rPr>
          <w:rFonts w:cstheme="minorHAnsi"/>
          <w:color w:val="000000" w:themeColor="text1"/>
        </w:rPr>
        <w:t>Ethical conduct and academic integrity and honesty are fundamental to the mission of APIC and academic misconduct will not be tolerated by the College.</w:t>
      </w:r>
      <w:r w:rsidRPr="00A52649">
        <w:rPr>
          <w:rFonts w:cstheme="minorHAnsi"/>
          <w:bCs/>
          <w:color w:val="000000" w:themeColor="text1"/>
        </w:rPr>
        <w:t xml:space="preserve"> It is the responsibility of every student to make sure that they understand what constitutes academic misconduct and to refrain from engaging in it. </w:t>
      </w:r>
      <w:r w:rsidRPr="00A52649">
        <w:rPr>
          <w:rFonts w:cstheme="minorHAnsi"/>
          <w:color w:val="000000" w:themeColor="text1"/>
        </w:rPr>
        <w:t xml:space="preserve">Please refer to APIC’s </w:t>
      </w:r>
      <w:hyperlink r:id="rId14" w:history="1">
        <w:r w:rsidRPr="00A52649">
          <w:rPr>
            <w:rStyle w:val="Hyperlink"/>
            <w:rFonts w:cstheme="minorHAnsi"/>
          </w:rPr>
          <w:t>Academic Integrity Policy</w:t>
        </w:r>
      </w:hyperlink>
      <w:r w:rsidRPr="00A52649">
        <w:rPr>
          <w:rFonts w:cstheme="minorHAnsi"/>
          <w:color w:val="000000" w:themeColor="text1"/>
        </w:rPr>
        <w:t xml:space="preserve"> for further details</w:t>
      </w:r>
      <w:r w:rsidR="001A63F7">
        <w:rPr>
          <w:rFonts w:cstheme="minorHAnsi"/>
          <w:color w:val="000000" w:themeColor="text1"/>
        </w:rPr>
        <w:t xml:space="preserve">. </w:t>
      </w:r>
    </w:p>
    <w:p w14:paraId="1B03A576" w14:textId="10537921" w:rsidR="00E56E71" w:rsidRDefault="00E56E71" w:rsidP="1C47D809">
      <w:pPr>
        <w:spacing w:line="264" w:lineRule="auto"/>
        <w:rPr>
          <w:b/>
          <w:bCs/>
          <w:color w:val="182958"/>
          <w:sz w:val="24"/>
          <w:szCs w:val="24"/>
        </w:rPr>
      </w:pPr>
    </w:p>
    <w:p w14:paraId="58517E09" w14:textId="4F151733" w:rsidR="00E56E71" w:rsidRDefault="00E56E71" w:rsidP="1C47D809">
      <w:pPr>
        <w:spacing w:line="264" w:lineRule="auto"/>
        <w:rPr>
          <w:b/>
          <w:bCs/>
          <w:color w:val="182958"/>
          <w:sz w:val="24"/>
          <w:szCs w:val="24"/>
        </w:rPr>
      </w:pPr>
      <w:r w:rsidRPr="1C47D809">
        <w:rPr>
          <w:b/>
          <w:bCs/>
          <w:color w:val="182958"/>
          <w:sz w:val="24"/>
          <w:szCs w:val="24"/>
        </w:rPr>
        <w:t>Other Important Information and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6E71" w14:paraId="4FE6DDDF" w14:textId="77777777" w:rsidTr="0011210E">
        <w:trPr>
          <w:trHeight w:val="2041"/>
        </w:trPr>
        <w:tc>
          <w:tcPr>
            <w:tcW w:w="4508" w:type="dxa"/>
          </w:tcPr>
          <w:p w14:paraId="495CF211" w14:textId="77777777" w:rsidR="00E56E71" w:rsidRPr="0036208A" w:rsidRDefault="00E56E71" w:rsidP="0011210E">
            <w:pPr>
              <w:spacing w:after="40"/>
              <w:rPr>
                <w:rFonts w:cstheme="minorHAnsi"/>
                <w:b/>
                <w:bCs/>
              </w:rPr>
            </w:pPr>
            <w:r w:rsidRPr="0036208A">
              <w:rPr>
                <w:rFonts w:cstheme="minorHAnsi"/>
                <w:b/>
                <w:bCs/>
              </w:rPr>
              <w:t xml:space="preserve">Special </w:t>
            </w:r>
            <w:r>
              <w:rPr>
                <w:rFonts w:cstheme="minorHAnsi"/>
                <w:b/>
                <w:bCs/>
              </w:rPr>
              <w:t>c</w:t>
            </w:r>
            <w:r w:rsidRPr="0036208A">
              <w:rPr>
                <w:rFonts w:cstheme="minorHAnsi"/>
                <w:b/>
                <w:bCs/>
              </w:rPr>
              <w:t>onsideration</w:t>
            </w:r>
          </w:p>
          <w:p w14:paraId="0DBF4501" w14:textId="77777777" w:rsidR="00E56E71" w:rsidRDefault="00E56E71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If your</w:t>
            </w:r>
            <w:r w:rsidRPr="00FC7B71">
              <w:rPr>
                <w:rFonts w:cstheme="minorHAnsi"/>
              </w:rPr>
              <w:t xml:space="preserve"> academic work is impacted by significant documented illness, hardship, or other adverse circumstances beyond </w:t>
            </w:r>
            <w:r>
              <w:rPr>
                <w:rFonts w:cstheme="minorHAnsi"/>
              </w:rPr>
              <w:t>your</w:t>
            </w:r>
            <w:r w:rsidRPr="00FC7B71">
              <w:rPr>
                <w:rFonts w:cstheme="minorHAnsi"/>
              </w:rPr>
              <w:t xml:space="preserve"> control</w:t>
            </w:r>
            <w:r>
              <w:rPr>
                <w:rFonts w:cstheme="minorHAnsi"/>
              </w:rPr>
              <w:t>, you</w:t>
            </w:r>
            <w:r w:rsidRPr="00FC7B71">
              <w:rPr>
                <w:rFonts w:cstheme="minorHAnsi"/>
              </w:rPr>
              <w:t xml:space="preserve"> may make an application for Special Consideration. Please refer to </w:t>
            </w:r>
            <w:r>
              <w:rPr>
                <w:rFonts w:cstheme="minorHAnsi"/>
              </w:rPr>
              <w:t xml:space="preserve">the </w:t>
            </w:r>
            <w:hyperlink r:id="rId15" w:history="1">
              <w:r w:rsidRPr="00FC7B71">
                <w:rPr>
                  <w:rStyle w:val="Hyperlink"/>
                  <w:rFonts w:cstheme="minorHAnsi"/>
                </w:rPr>
                <w:t>Assessment Policy</w:t>
              </w:r>
            </w:hyperlink>
            <w:r w:rsidRPr="00FC7B71">
              <w:rPr>
                <w:rFonts w:cstheme="minorHAnsi"/>
              </w:rPr>
              <w:t xml:space="preserve"> for further details.</w:t>
            </w:r>
          </w:p>
        </w:tc>
        <w:tc>
          <w:tcPr>
            <w:tcW w:w="4508" w:type="dxa"/>
          </w:tcPr>
          <w:p w14:paraId="7DC6EE22" w14:textId="77777777" w:rsidR="00E56E71" w:rsidRPr="00F30B6B" w:rsidRDefault="00E56E71" w:rsidP="0011210E">
            <w:pPr>
              <w:spacing w:after="40"/>
              <w:rPr>
                <w:rFonts w:cstheme="minorHAnsi"/>
                <w:b/>
                <w:bCs/>
              </w:rPr>
            </w:pPr>
            <w:r w:rsidRPr="00F30B6B">
              <w:rPr>
                <w:rFonts w:cstheme="minorHAnsi"/>
                <w:b/>
                <w:bCs/>
              </w:rPr>
              <w:t>Late submission</w:t>
            </w:r>
          </w:p>
          <w:p w14:paraId="53AA8616" w14:textId="77777777" w:rsidR="00E56E71" w:rsidRDefault="00E56E71" w:rsidP="0011210E">
            <w:pPr>
              <w:spacing w:after="40"/>
              <w:rPr>
                <w:rFonts w:cstheme="minorHAnsi"/>
              </w:rPr>
            </w:pPr>
            <w:r w:rsidRPr="00F30B6B">
              <w:rPr>
                <w:rFonts w:cstheme="minorHAnsi"/>
              </w:rPr>
              <w:t>P</w:t>
            </w:r>
            <w:r>
              <w:rPr>
                <w:rFonts w:cstheme="minorHAnsi"/>
              </w:rPr>
              <w:t>enalties apply when work is submitted after the due date without approval. P</w:t>
            </w:r>
            <w:r w:rsidRPr="00F30B6B">
              <w:rPr>
                <w:rFonts w:cstheme="minorHAnsi"/>
              </w:rPr>
              <w:t xml:space="preserve">lease refer to </w:t>
            </w:r>
            <w:r>
              <w:rPr>
                <w:rFonts w:cstheme="minorHAnsi"/>
              </w:rPr>
              <w:t>the</w:t>
            </w:r>
            <w:r w:rsidRPr="00F30B6B">
              <w:rPr>
                <w:rFonts w:cstheme="minorHAnsi"/>
              </w:rPr>
              <w:t xml:space="preserve"> </w:t>
            </w:r>
            <w:hyperlink r:id="rId16" w:history="1">
              <w:r w:rsidRPr="00F862B9">
                <w:rPr>
                  <w:rStyle w:val="Hyperlink"/>
                  <w:rFonts w:cstheme="minorHAnsi"/>
                </w:rPr>
                <w:t>Assessment Policy</w:t>
              </w:r>
            </w:hyperlink>
            <w:r w:rsidRPr="00F30B6B">
              <w:rPr>
                <w:rFonts w:cstheme="minorHAnsi"/>
              </w:rPr>
              <w:t xml:space="preserve"> for </w:t>
            </w:r>
            <w:r>
              <w:rPr>
                <w:rFonts w:cstheme="minorHAnsi"/>
              </w:rPr>
              <w:t xml:space="preserve">information about </w:t>
            </w:r>
            <w:r w:rsidRPr="00F30B6B">
              <w:rPr>
                <w:rFonts w:cstheme="minorHAnsi"/>
              </w:rPr>
              <w:t>late submission.</w:t>
            </w:r>
          </w:p>
        </w:tc>
      </w:tr>
      <w:tr w:rsidR="00E56E71" w14:paraId="4EEB82A9" w14:textId="77777777" w:rsidTr="0011210E">
        <w:trPr>
          <w:trHeight w:val="2041"/>
        </w:trPr>
        <w:tc>
          <w:tcPr>
            <w:tcW w:w="4508" w:type="dxa"/>
          </w:tcPr>
          <w:p w14:paraId="66DA92B8" w14:textId="77777777" w:rsidR="00E56E71" w:rsidRPr="00090BAB" w:rsidRDefault="00E56E71" w:rsidP="0011210E">
            <w:pPr>
              <w:spacing w:after="40"/>
              <w:rPr>
                <w:rFonts w:cstheme="minorHAnsi"/>
                <w:b/>
                <w:bCs/>
              </w:rPr>
            </w:pPr>
            <w:r w:rsidRPr="00090BAB">
              <w:rPr>
                <w:rFonts w:cstheme="minorHAnsi"/>
                <w:b/>
                <w:bCs/>
              </w:rPr>
              <w:t>Assessment appeals</w:t>
            </w:r>
          </w:p>
          <w:p w14:paraId="6A3B8D75" w14:textId="77777777" w:rsidR="00E56E71" w:rsidRDefault="00E56E71" w:rsidP="0011210E">
            <w:pPr>
              <w:spacing w:after="40"/>
              <w:rPr>
                <w:rFonts w:cstheme="minorHAnsi"/>
              </w:rPr>
            </w:pPr>
            <w:r w:rsidRPr="00D77C1C">
              <w:rPr>
                <w:rFonts w:cstheme="minorHAnsi"/>
              </w:rPr>
              <w:t xml:space="preserve">If you are concerned about a mark you have received for an assessment or final grade, you may apply to formally appeal the grade. Please see </w:t>
            </w:r>
            <w:r>
              <w:rPr>
                <w:rFonts w:cstheme="minorHAnsi"/>
              </w:rPr>
              <w:t>the</w:t>
            </w:r>
            <w:r w:rsidRPr="00D77C1C">
              <w:rPr>
                <w:rFonts w:cstheme="minorHAnsi"/>
              </w:rPr>
              <w:t xml:space="preserve"> </w:t>
            </w:r>
            <w:hyperlink r:id="rId17" w:history="1">
              <w:r w:rsidRPr="00090BAB">
                <w:rPr>
                  <w:rStyle w:val="Hyperlink"/>
                  <w:rFonts w:cstheme="minorHAnsi"/>
                </w:rPr>
                <w:t>Assessment Policy</w:t>
              </w:r>
            </w:hyperlink>
            <w:r w:rsidRPr="00D77C1C">
              <w:rPr>
                <w:rFonts w:cstheme="minorHAnsi"/>
              </w:rPr>
              <w:t xml:space="preserve"> for further details.</w:t>
            </w:r>
          </w:p>
        </w:tc>
        <w:tc>
          <w:tcPr>
            <w:tcW w:w="4508" w:type="dxa"/>
          </w:tcPr>
          <w:p w14:paraId="09AEC1EF" w14:textId="77777777" w:rsidR="00E56E71" w:rsidRPr="000C6FCA" w:rsidRDefault="00E56E71" w:rsidP="0011210E">
            <w:pPr>
              <w:spacing w:after="40"/>
              <w:rPr>
                <w:rFonts w:cstheme="minorHAnsi"/>
                <w:b/>
                <w:bCs/>
              </w:rPr>
            </w:pPr>
            <w:r w:rsidRPr="000C6FCA">
              <w:rPr>
                <w:rFonts w:cstheme="minorHAnsi"/>
                <w:b/>
                <w:bCs/>
              </w:rPr>
              <w:t xml:space="preserve">Award of </w:t>
            </w:r>
            <w:r>
              <w:rPr>
                <w:rFonts w:cstheme="minorHAnsi"/>
                <w:b/>
                <w:bCs/>
              </w:rPr>
              <w:t>g</w:t>
            </w:r>
            <w:r w:rsidRPr="000C6FCA">
              <w:rPr>
                <w:rFonts w:cstheme="minorHAnsi"/>
                <w:b/>
                <w:bCs/>
              </w:rPr>
              <w:t>rades</w:t>
            </w:r>
          </w:p>
          <w:p w14:paraId="1052AE0A" w14:textId="77777777" w:rsidR="00E56E71" w:rsidRDefault="00E56E71" w:rsidP="0011210E">
            <w:pPr>
              <w:spacing w:after="40"/>
              <w:rPr>
                <w:rFonts w:cstheme="minorHAnsi"/>
              </w:rPr>
            </w:pPr>
            <w:r w:rsidRPr="000C6FCA">
              <w:rPr>
                <w:rFonts w:cstheme="minorHAnsi"/>
              </w:rPr>
              <w:t>APIC awards common result grades, set out in the</w:t>
            </w:r>
            <w:r>
              <w:rPr>
                <w:rFonts w:cstheme="minorHAnsi"/>
              </w:rPr>
              <w:t xml:space="preserve"> </w:t>
            </w:r>
            <w:hyperlink r:id="rId18" w:history="1">
              <w:r w:rsidRPr="00E976D5">
                <w:rPr>
                  <w:rStyle w:val="Hyperlink"/>
                  <w:rFonts w:cstheme="minorHAnsi"/>
                </w:rPr>
                <w:t>Award of Grade Policy</w:t>
              </w:r>
            </w:hyperlink>
            <w:r>
              <w:rPr>
                <w:rFonts w:cstheme="minorHAnsi"/>
              </w:rPr>
              <w:t>.</w:t>
            </w:r>
          </w:p>
        </w:tc>
      </w:tr>
      <w:tr w:rsidR="00E56E71" w14:paraId="72AD6A8A" w14:textId="77777777" w:rsidTr="0011210E">
        <w:trPr>
          <w:trHeight w:val="2041"/>
        </w:trPr>
        <w:tc>
          <w:tcPr>
            <w:tcW w:w="4508" w:type="dxa"/>
          </w:tcPr>
          <w:p w14:paraId="3C005CBF" w14:textId="77777777" w:rsidR="00E56E71" w:rsidRPr="00382AAC" w:rsidRDefault="00E56E71" w:rsidP="0011210E">
            <w:pPr>
              <w:spacing w:after="40"/>
              <w:rPr>
                <w:rFonts w:cstheme="minorHAnsi"/>
                <w:b/>
                <w:bCs/>
              </w:rPr>
            </w:pPr>
            <w:r w:rsidRPr="00382AAC">
              <w:rPr>
                <w:rFonts w:cstheme="minorHAnsi"/>
                <w:b/>
                <w:bCs/>
              </w:rPr>
              <w:t>Expectations of student conduct</w:t>
            </w:r>
          </w:p>
          <w:p w14:paraId="74F2CC92" w14:textId="77777777" w:rsidR="00E56E71" w:rsidRDefault="00E56E71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Students are expected to conduct themselves in a manner that is consistent with a safe and respectful study environment. More information can be found in the </w:t>
            </w:r>
            <w:hyperlink r:id="rId19" w:history="1">
              <w:r w:rsidRPr="00982C23">
                <w:rPr>
                  <w:rStyle w:val="Hyperlink"/>
                  <w:rFonts w:cstheme="minorHAnsi"/>
                </w:rPr>
                <w:t>Student Code of Conduct</w:t>
              </w:r>
            </w:hyperlink>
            <w:r>
              <w:rPr>
                <w:rFonts w:cstheme="minorHAnsi"/>
              </w:rPr>
              <w:t>.</w:t>
            </w:r>
          </w:p>
          <w:p w14:paraId="219EFE4B" w14:textId="77777777" w:rsidR="00E56E71" w:rsidRDefault="00E56E71" w:rsidP="0011210E">
            <w:pPr>
              <w:spacing w:after="40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6B8E4375" w14:textId="77777777" w:rsidR="00E56E71" w:rsidRPr="006678C5" w:rsidRDefault="00E56E71" w:rsidP="0011210E">
            <w:pPr>
              <w:spacing w:after="40"/>
              <w:rPr>
                <w:rFonts w:cstheme="minorHAnsi"/>
                <w:b/>
                <w:bCs/>
              </w:rPr>
            </w:pPr>
            <w:r w:rsidRPr="006678C5">
              <w:rPr>
                <w:rFonts w:cstheme="minorHAnsi"/>
                <w:b/>
                <w:bCs/>
              </w:rPr>
              <w:t xml:space="preserve">Study </w:t>
            </w:r>
            <w:r>
              <w:rPr>
                <w:rFonts w:cstheme="minorHAnsi"/>
                <w:b/>
                <w:bCs/>
              </w:rPr>
              <w:t>r</w:t>
            </w:r>
            <w:r w:rsidRPr="006678C5">
              <w:rPr>
                <w:rFonts w:cstheme="minorHAnsi"/>
                <w:b/>
                <w:bCs/>
              </w:rPr>
              <w:t>esources</w:t>
            </w:r>
          </w:p>
          <w:p w14:paraId="4BBED2E5" w14:textId="77777777" w:rsidR="00E56E71" w:rsidRDefault="00E56E71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APIC Library and Student Learning Support resources and services can be accessed via the </w:t>
            </w:r>
            <w:hyperlink r:id="rId20" w:history="1">
              <w:r w:rsidRPr="004C2646">
                <w:rPr>
                  <w:rStyle w:val="Hyperlink"/>
                  <w:rFonts w:cstheme="minorHAnsi"/>
                </w:rPr>
                <w:t>Student Lounge</w:t>
              </w:r>
            </w:hyperlink>
            <w:r>
              <w:rPr>
                <w:rFonts w:cstheme="minorHAnsi"/>
              </w:rPr>
              <w:t xml:space="preserve"> or your </w:t>
            </w:r>
            <w:hyperlink r:id="rId21" w:history="1">
              <w:r w:rsidRPr="006678C5">
                <w:rPr>
                  <w:rStyle w:val="Hyperlink"/>
                  <w:rFonts w:cstheme="minorHAnsi"/>
                </w:rPr>
                <w:t>Dashboard on the OLS (Canvas)</w:t>
              </w:r>
            </w:hyperlink>
            <w:r>
              <w:rPr>
                <w:rFonts w:cstheme="minorHAnsi"/>
              </w:rPr>
              <w:t>.</w:t>
            </w:r>
          </w:p>
        </w:tc>
      </w:tr>
      <w:tr w:rsidR="00E56E71" w14:paraId="68D90ECE" w14:textId="77777777" w:rsidTr="0011210E">
        <w:trPr>
          <w:trHeight w:val="2041"/>
        </w:trPr>
        <w:tc>
          <w:tcPr>
            <w:tcW w:w="4508" w:type="dxa"/>
          </w:tcPr>
          <w:p w14:paraId="01DD17B0" w14:textId="77777777" w:rsidR="00E56E71" w:rsidRPr="00D701EE" w:rsidRDefault="00E56E71" w:rsidP="0011210E">
            <w:pPr>
              <w:spacing w:after="40"/>
              <w:rPr>
                <w:rFonts w:cstheme="minorHAnsi"/>
                <w:b/>
                <w:bCs/>
              </w:rPr>
            </w:pPr>
            <w:r w:rsidRPr="00D701EE">
              <w:rPr>
                <w:rFonts w:cstheme="minorHAnsi"/>
                <w:b/>
                <w:bCs/>
              </w:rPr>
              <w:t>Student Services</w:t>
            </w:r>
          </w:p>
          <w:p w14:paraId="19E26F77" w14:textId="77777777" w:rsidR="00E56E71" w:rsidRDefault="00E56E71" w:rsidP="0011210E">
            <w:pPr>
              <w:spacing w:after="40"/>
              <w:rPr>
                <w:rFonts w:cstheme="minorHAnsi"/>
              </w:rPr>
            </w:pPr>
            <w:r w:rsidRPr="001129B6">
              <w:rPr>
                <w:rFonts w:cstheme="minorHAnsi"/>
              </w:rPr>
              <w:t>The Student Services team provides administrative support for students</w:t>
            </w:r>
            <w:r>
              <w:rPr>
                <w:rFonts w:cstheme="minorHAnsi"/>
              </w:rPr>
              <w:t xml:space="preserve"> and </w:t>
            </w:r>
            <w:r w:rsidRPr="001129B6">
              <w:rPr>
                <w:rFonts w:cstheme="minorHAnsi"/>
              </w:rPr>
              <w:t>handles enquiries about enrolment, timetables</w:t>
            </w:r>
            <w:r>
              <w:rPr>
                <w:rFonts w:cstheme="minorHAnsi"/>
              </w:rPr>
              <w:t xml:space="preserve">, </w:t>
            </w:r>
            <w:r w:rsidRPr="001129B6">
              <w:rPr>
                <w:rFonts w:cstheme="minorHAnsi"/>
              </w:rPr>
              <w:t>important dates and submitting forms.</w:t>
            </w:r>
            <w:r>
              <w:rPr>
                <w:rFonts w:cstheme="minorHAnsi"/>
              </w:rPr>
              <w:t xml:space="preserve"> More information can be found on the </w:t>
            </w:r>
            <w:hyperlink r:id="rId22" w:history="1">
              <w:r w:rsidRPr="00E876F8">
                <w:rPr>
                  <w:rStyle w:val="Hyperlink"/>
                  <w:rFonts w:cstheme="minorHAnsi"/>
                </w:rPr>
                <w:t>Student Services page on the OLS (Canvas)</w:t>
              </w:r>
            </w:hyperlink>
            <w:r>
              <w:rPr>
                <w:rFonts w:cstheme="minorHAnsi"/>
              </w:rPr>
              <w:t>.</w:t>
            </w:r>
          </w:p>
        </w:tc>
        <w:tc>
          <w:tcPr>
            <w:tcW w:w="4508" w:type="dxa"/>
          </w:tcPr>
          <w:p w14:paraId="1EDAE860" w14:textId="77777777" w:rsidR="00E56E71" w:rsidRPr="00271436" w:rsidRDefault="00E56E71" w:rsidP="0011210E">
            <w:pPr>
              <w:spacing w:after="40"/>
              <w:rPr>
                <w:rFonts w:cstheme="minorHAnsi"/>
                <w:b/>
                <w:bCs/>
              </w:rPr>
            </w:pPr>
            <w:r w:rsidRPr="00271436">
              <w:rPr>
                <w:rFonts w:cstheme="minorHAnsi"/>
                <w:b/>
                <w:bCs/>
              </w:rPr>
              <w:t xml:space="preserve">Key </w:t>
            </w:r>
            <w:r>
              <w:rPr>
                <w:rFonts w:cstheme="minorHAnsi"/>
                <w:b/>
                <w:bCs/>
              </w:rPr>
              <w:t>d</w:t>
            </w:r>
            <w:r w:rsidRPr="00271436">
              <w:rPr>
                <w:rFonts w:cstheme="minorHAnsi"/>
                <w:b/>
                <w:bCs/>
              </w:rPr>
              <w:t>ates</w:t>
            </w:r>
          </w:p>
          <w:p w14:paraId="4F116192" w14:textId="77777777" w:rsidR="00E56E71" w:rsidRDefault="00E56E71" w:rsidP="0011210E">
            <w:pPr>
              <w:spacing w:after="40"/>
              <w:rPr>
                <w:rFonts w:cstheme="minorHAnsi"/>
              </w:rPr>
            </w:pPr>
            <w:r w:rsidRPr="00D42B0F">
              <w:rPr>
                <w:rFonts w:cstheme="minorHAnsi"/>
              </w:rPr>
              <w:t>Key dates through the academic year, including teaching periods, census, payment deadlines and exams</w:t>
            </w:r>
            <w:r>
              <w:rPr>
                <w:rFonts w:cstheme="minorHAnsi"/>
              </w:rPr>
              <w:t xml:space="preserve"> can be found on the </w:t>
            </w:r>
            <w:hyperlink r:id="rId23" w:history="1">
              <w:r w:rsidRPr="00493077">
                <w:rPr>
                  <w:rStyle w:val="Hyperlink"/>
                  <w:rFonts w:cstheme="minorHAnsi"/>
                </w:rPr>
                <w:t>Academic Calendar</w:t>
              </w:r>
            </w:hyperlink>
            <w:r>
              <w:rPr>
                <w:rFonts w:cstheme="minorHAnsi"/>
              </w:rPr>
              <w:t xml:space="preserve"> section of the APIC website.</w:t>
            </w:r>
          </w:p>
        </w:tc>
      </w:tr>
    </w:tbl>
    <w:p w14:paraId="6A19DCD6" w14:textId="77777777" w:rsidR="00E56E71" w:rsidRDefault="00E56E71" w:rsidP="00E56E71">
      <w:pPr>
        <w:spacing w:line="264" w:lineRule="auto"/>
        <w:rPr>
          <w:rFonts w:cstheme="minorHAnsi"/>
        </w:rPr>
      </w:pPr>
    </w:p>
    <w:p w14:paraId="7D39DC13" w14:textId="77777777" w:rsidR="00E56E71" w:rsidRDefault="00E56E71" w:rsidP="00E56E71">
      <w:pPr>
        <w:spacing w:line="264" w:lineRule="auto"/>
        <w:rPr>
          <w:rFonts w:cstheme="minorHAnsi"/>
        </w:rPr>
      </w:pPr>
    </w:p>
    <w:p w14:paraId="2FBCB90B" w14:textId="77777777" w:rsidR="00E56E71" w:rsidRPr="00561D44" w:rsidRDefault="00E56E71" w:rsidP="00E56E71">
      <w:pPr>
        <w:spacing w:line="264" w:lineRule="auto"/>
        <w:rPr>
          <w:rFonts w:cstheme="minorHAnsi"/>
          <w:b/>
          <w:bCs/>
          <w:sz w:val="24"/>
          <w:szCs w:val="24"/>
        </w:rPr>
      </w:pPr>
      <w:r w:rsidRPr="00561D44">
        <w:rPr>
          <w:rFonts w:cstheme="minorHAnsi"/>
          <w:b/>
          <w:bCs/>
          <w:color w:val="182958"/>
          <w:sz w:val="24"/>
          <w:szCs w:val="24"/>
        </w:rPr>
        <w:lastRenderedPageBreak/>
        <w:t xml:space="preserve">Changes and Updates to the Unit </w:t>
      </w:r>
      <w:r>
        <w:rPr>
          <w:rFonts w:cstheme="minorHAnsi"/>
          <w:b/>
          <w:bCs/>
          <w:color w:val="182958"/>
          <w:sz w:val="24"/>
          <w:szCs w:val="24"/>
        </w:rPr>
        <w:t xml:space="preserve">of </w:t>
      </w:r>
      <w:r w:rsidRPr="00561D44">
        <w:rPr>
          <w:rFonts w:cstheme="minorHAnsi"/>
          <w:b/>
          <w:bCs/>
          <w:color w:val="182958"/>
          <w:sz w:val="24"/>
          <w:szCs w:val="24"/>
        </w:rPr>
        <w:t>Study Guide</w:t>
      </w:r>
    </w:p>
    <w:p w14:paraId="7613A34D" w14:textId="77777777" w:rsidR="00E56E71" w:rsidRPr="00561D44" w:rsidRDefault="00E56E71" w:rsidP="00E56E71">
      <w:pPr>
        <w:spacing w:line="264" w:lineRule="auto"/>
        <w:rPr>
          <w:rFonts w:cstheme="minorHAnsi"/>
        </w:rPr>
      </w:pPr>
      <w:r w:rsidRPr="00561D44">
        <w:rPr>
          <w:rFonts w:cstheme="minorHAnsi"/>
        </w:rPr>
        <w:t xml:space="preserve">This </w:t>
      </w:r>
      <w:r>
        <w:rPr>
          <w:rFonts w:cstheme="minorHAnsi"/>
        </w:rPr>
        <w:t>U</w:t>
      </w:r>
      <w:r w:rsidRPr="00561D44">
        <w:rPr>
          <w:rFonts w:cstheme="minorHAnsi"/>
        </w:rPr>
        <w:t>nit</w:t>
      </w:r>
      <w:r>
        <w:rPr>
          <w:rFonts w:cstheme="minorHAnsi"/>
        </w:rPr>
        <w:t xml:space="preserve"> of S</w:t>
      </w:r>
      <w:r w:rsidRPr="00561D44">
        <w:rPr>
          <w:rFonts w:cstheme="minorHAnsi"/>
        </w:rPr>
        <w:t xml:space="preserve">tudy </w:t>
      </w:r>
      <w:r>
        <w:rPr>
          <w:rFonts w:cstheme="minorHAnsi"/>
        </w:rPr>
        <w:t>G</w:t>
      </w:r>
      <w:r w:rsidRPr="00561D44">
        <w:rPr>
          <w:rFonts w:cstheme="minorHAnsi"/>
        </w:rPr>
        <w:t xml:space="preserve">uide may be updated and amended from time to time. </w:t>
      </w:r>
      <w:r>
        <w:rPr>
          <w:rFonts w:cstheme="minorHAnsi"/>
        </w:rPr>
        <w:t>Students will be notified of a</w:t>
      </w:r>
      <w:r w:rsidRPr="00561D44">
        <w:rPr>
          <w:rFonts w:cstheme="minorHAnsi"/>
        </w:rPr>
        <w:t xml:space="preserve">ny changes to the unit </w:t>
      </w:r>
      <w:r>
        <w:rPr>
          <w:rFonts w:cstheme="minorHAnsi"/>
        </w:rPr>
        <w:t>via</w:t>
      </w:r>
      <w:r w:rsidRPr="00561D44">
        <w:rPr>
          <w:rFonts w:cstheme="minorHAnsi"/>
        </w:rPr>
        <w:t xml:space="preserve"> the Online Learning System (</w:t>
      </w:r>
      <w:r>
        <w:rPr>
          <w:rFonts w:cstheme="minorHAnsi"/>
        </w:rPr>
        <w:t xml:space="preserve">Canvas) space </w:t>
      </w:r>
      <w:r w:rsidRPr="00561D44">
        <w:rPr>
          <w:rFonts w:cstheme="minorHAnsi"/>
        </w:rPr>
        <w:t>for the unit.</w:t>
      </w:r>
    </w:p>
    <w:p w14:paraId="6A6CA5AD" w14:textId="63CC97B2" w:rsidR="00E56E71" w:rsidRPr="00B705F4" w:rsidRDefault="00E56E71" w:rsidP="1C47D809">
      <w:pPr>
        <w:spacing w:after="0"/>
        <w:rPr>
          <w:color w:val="000000" w:themeColor="text1"/>
        </w:rPr>
      </w:pPr>
      <w:r w:rsidRPr="1C47D809">
        <w:rPr>
          <w:color w:val="000000" w:themeColor="text1"/>
        </w:rPr>
        <w:t>This Unit of study Guide was last modified on 2</w:t>
      </w:r>
      <w:r w:rsidR="008542F4">
        <w:rPr>
          <w:color w:val="000000" w:themeColor="text1"/>
        </w:rPr>
        <w:t>5</w:t>
      </w:r>
      <w:r w:rsidRPr="1C47D809">
        <w:rPr>
          <w:color w:val="000000" w:themeColor="text1"/>
          <w:vertAlign w:val="superscript"/>
        </w:rPr>
        <w:t>th</w:t>
      </w:r>
      <w:r w:rsidRPr="1C47D809">
        <w:rPr>
          <w:color w:val="000000" w:themeColor="text1"/>
        </w:rPr>
        <w:t xml:space="preserve"> </w:t>
      </w:r>
      <w:r w:rsidR="008542F4">
        <w:rPr>
          <w:color w:val="000000" w:themeColor="text1"/>
        </w:rPr>
        <w:t>September</w:t>
      </w:r>
      <w:r w:rsidRPr="1C47D809">
        <w:rPr>
          <w:color w:val="000000" w:themeColor="text1"/>
        </w:rPr>
        <w:t xml:space="preserve"> 202</w:t>
      </w:r>
      <w:r w:rsidR="008542F4">
        <w:rPr>
          <w:color w:val="000000" w:themeColor="text1"/>
        </w:rPr>
        <w:t>3</w:t>
      </w:r>
      <w:r w:rsidRPr="1C47D809">
        <w:rPr>
          <w:color w:val="000000" w:themeColor="text1"/>
        </w:rPr>
        <w:t>.</w:t>
      </w:r>
    </w:p>
    <w:p w14:paraId="651CBC7B" w14:textId="77777777" w:rsidR="00E56E71" w:rsidRPr="00F45160" w:rsidRDefault="00E56E71" w:rsidP="00E56E71">
      <w:pPr>
        <w:spacing w:line="264" w:lineRule="auto"/>
        <w:rPr>
          <w:rFonts w:cstheme="minorHAnsi"/>
        </w:rPr>
      </w:pPr>
    </w:p>
    <w:p w14:paraId="40069E98" w14:textId="79D76BDA" w:rsidR="00F84079" w:rsidRPr="00F84079" w:rsidRDefault="00F84079" w:rsidP="00E56E71">
      <w:pPr>
        <w:spacing w:before="120" w:after="120" w:line="240" w:lineRule="auto"/>
        <w:rPr>
          <w:rFonts w:cstheme="minorHAnsi"/>
          <w:b/>
          <w:bCs/>
          <w:color w:val="000000" w:themeColor="text1"/>
        </w:rPr>
      </w:pPr>
    </w:p>
    <w:sectPr w:rsidR="00F84079" w:rsidRPr="00F84079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7076" w14:textId="77777777" w:rsidR="00D333C7" w:rsidRDefault="00D333C7" w:rsidP="007C4BAA">
      <w:pPr>
        <w:spacing w:after="0" w:line="240" w:lineRule="auto"/>
      </w:pPr>
      <w:r>
        <w:separator/>
      </w:r>
    </w:p>
  </w:endnote>
  <w:endnote w:type="continuationSeparator" w:id="0">
    <w:p w14:paraId="0EAC2F73" w14:textId="77777777" w:rsidR="00D333C7" w:rsidRDefault="00D333C7" w:rsidP="007C4BAA">
      <w:pPr>
        <w:spacing w:after="0" w:line="240" w:lineRule="auto"/>
      </w:pPr>
      <w:r>
        <w:continuationSeparator/>
      </w:r>
    </w:p>
  </w:endnote>
  <w:endnote w:type="continuationNotice" w:id="1">
    <w:p w14:paraId="1E9BA386" w14:textId="77777777" w:rsidR="00D333C7" w:rsidRDefault="00D333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9044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F6991" w14:textId="77777777" w:rsidR="00E22A35" w:rsidRDefault="00E22A35" w:rsidP="00E22A35">
        <w:pPr>
          <w:pStyle w:val="Footer"/>
        </w:pPr>
        <w:r w:rsidRPr="009B783A">
          <w:rPr>
            <w:sz w:val="16"/>
            <w:szCs w:val="16"/>
          </w:rPr>
          <w:t>Asia Pacific International College Pty Ltd. Trading as Asia Pacific International College</w:t>
        </w:r>
        <w:r w:rsidRPr="00E129E5">
          <w:t xml:space="preserve"> </w:t>
        </w:r>
        <w:r>
          <w:tab/>
        </w:r>
        <w:sdt>
          <w:sdtPr>
            <w:id w:val="171115013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273076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sdtContent>
        </w:sdt>
      </w:p>
      <w:p w14:paraId="5B6DA71F" w14:textId="5AA082AA" w:rsidR="00DA0AD9" w:rsidRDefault="00E22A35">
        <w:pPr>
          <w:pStyle w:val="Footer"/>
        </w:pPr>
        <w:r w:rsidRPr="009B783A">
          <w:rPr>
            <w:sz w:val="16"/>
            <w:szCs w:val="16"/>
          </w:rPr>
          <w:t>PRV12007; CRICOS 03048D</w:t>
        </w:r>
        <w:r>
          <w:rPr>
            <w:sz w:val="16"/>
            <w:szCs w:val="16"/>
          </w:rPr>
          <w:tab/>
          <w:t xml:space="preserve">                                                                                                                 </w:t>
        </w:r>
        <w:r w:rsidR="001E1B52">
          <w:rPr>
            <w:sz w:val="16"/>
            <w:szCs w:val="16"/>
          </w:rPr>
          <w:t xml:space="preserve">            </w:t>
        </w:r>
        <w:r w:rsidR="00AF38D5">
          <w:rPr>
            <w:sz w:val="16"/>
            <w:szCs w:val="16"/>
          </w:rPr>
          <w:t xml:space="preserve">                        </w:t>
        </w:r>
        <w:r w:rsidRPr="00445FC8">
          <w:rPr>
            <w:rFonts w:cstheme="minorHAnsi"/>
            <w:bCs/>
            <w:sz w:val="16"/>
            <w:szCs w:val="16"/>
          </w:rPr>
          <w:t>ICT</w:t>
        </w:r>
        <w:r>
          <w:rPr>
            <w:rFonts w:cstheme="minorHAnsi"/>
            <w:bCs/>
            <w:sz w:val="16"/>
            <w:szCs w:val="16"/>
          </w:rPr>
          <w:t>5</w:t>
        </w:r>
        <w:r w:rsidR="00AF38D5">
          <w:rPr>
            <w:rFonts w:cstheme="minorHAnsi"/>
            <w:bCs/>
            <w:sz w:val="16"/>
            <w:szCs w:val="16"/>
          </w:rPr>
          <w:t>3</w:t>
        </w:r>
        <w:r w:rsidR="00D41781">
          <w:rPr>
            <w:rFonts w:cstheme="minorHAnsi"/>
            <w:bCs/>
            <w:sz w:val="16"/>
            <w:szCs w:val="16"/>
          </w:rPr>
          <w:t xml:space="preserve">50 </w:t>
        </w:r>
        <w:r w:rsidR="00AF38D5">
          <w:rPr>
            <w:rFonts w:cstheme="minorHAnsi"/>
            <w:bCs/>
            <w:sz w:val="16"/>
            <w:szCs w:val="16"/>
          </w:rPr>
          <w:t>Securing IT Systems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C77E" w14:textId="77777777" w:rsidR="00D333C7" w:rsidRDefault="00D333C7" w:rsidP="007C4BAA">
      <w:pPr>
        <w:spacing w:after="0" w:line="240" w:lineRule="auto"/>
      </w:pPr>
      <w:r>
        <w:separator/>
      </w:r>
    </w:p>
  </w:footnote>
  <w:footnote w:type="continuationSeparator" w:id="0">
    <w:p w14:paraId="558472E1" w14:textId="77777777" w:rsidR="00D333C7" w:rsidRDefault="00D333C7" w:rsidP="007C4BAA">
      <w:pPr>
        <w:spacing w:after="0" w:line="240" w:lineRule="auto"/>
      </w:pPr>
      <w:r>
        <w:continuationSeparator/>
      </w:r>
    </w:p>
  </w:footnote>
  <w:footnote w:type="continuationNotice" w:id="1">
    <w:p w14:paraId="61397D3C" w14:textId="77777777" w:rsidR="00D333C7" w:rsidRDefault="00D333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CE8E" w14:textId="60C32524" w:rsidR="00DA0AD9" w:rsidRDefault="00DA0A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090A291" wp14:editId="4EF21C18">
          <wp:simplePos x="0" y="0"/>
          <wp:positionH relativeFrom="column">
            <wp:posOffset>-638175</wp:posOffset>
          </wp:positionH>
          <wp:positionV relativeFrom="paragraph">
            <wp:posOffset>-354330</wp:posOffset>
          </wp:positionV>
          <wp:extent cx="1304925" cy="771525"/>
          <wp:effectExtent l="0" t="0" r="9525" b="9525"/>
          <wp:wrapTight wrapText="bothSides">
            <wp:wrapPolygon edited="0">
              <wp:start x="0" y="0"/>
              <wp:lineTo x="0" y="21333"/>
              <wp:lineTo x="21442" y="21333"/>
              <wp:lineTo x="2144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89E"/>
    <w:multiLevelType w:val="multilevel"/>
    <w:tmpl w:val="3F38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E5AB2"/>
    <w:multiLevelType w:val="hybridMultilevel"/>
    <w:tmpl w:val="71309E24"/>
    <w:lvl w:ilvl="0" w:tplc="0C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" w15:restartNumberingAfterBreak="0">
    <w:nsid w:val="093862E6"/>
    <w:multiLevelType w:val="hybridMultilevel"/>
    <w:tmpl w:val="A7B2D7D6"/>
    <w:lvl w:ilvl="0" w:tplc="9148E1F2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8" w:hanging="360"/>
      </w:pPr>
    </w:lvl>
    <w:lvl w:ilvl="2" w:tplc="0C09001B" w:tentative="1">
      <w:start w:val="1"/>
      <w:numFmt w:val="lowerRoman"/>
      <w:lvlText w:val="%3."/>
      <w:lvlJc w:val="right"/>
      <w:pPr>
        <w:ind w:left="1758" w:hanging="180"/>
      </w:pPr>
    </w:lvl>
    <w:lvl w:ilvl="3" w:tplc="0C09000F" w:tentative="1">
      <w:start w:val="1"/>
      <w:numFmt w:val="decimal"/>
      <w:lvlText w:val="%4."/>
      <w:lvlJc w:val="left"/>
      <w:pPr>
        <w:ind w:left="2478" w:hanging="360"/>
      </w:pPr>
    </w:lvl>
    <w:lvl w:ilvl="4" w:tplc="0C090019" w:tentative="1">
      <w:start w:val="1"/>
      <w:numFmt w:val="lowerLetter"/>
      <w:lvlText w:val="%5."/>
      <w:lvlJc w:val="left"/>
      <w:pPr>
        <w:ind w:left="3198" w:hanging="360"/>
      </w:pPr>
    </w:lvl>
    <w:lvl w:ilvl="5" w:tplc="0C09001B" w:tentative="1">
      <w:start w:val="1"/>
      <w:numFmt w:val="lowerRoman"/>
      <w:lvlText w:val="%6."/>
      <w:lvlJc w:val="right"/>
      <w:pPr>
        <w:ind w:left="3918" w:hanging="180"/>
      </w:pPr>
    </w:lvl>
    <w:lvl w:ilvl="6" w:tplc="0C09000F" w:tentative="1">
      <w:start w:val="1"/>
      <w:numFmt w:val="decimal"/>
      <w:lvlText w:val="%7."/>
      <w:lvlJc w:val="left"/>
      <w:pPr>
        <w:ind w:left="4638" w:hanging="360"/>
      </w:pPr>
    </w:lvl>
    <w:lvl w:ilvl="7" w:tplc="0C090019" w:tentative="1">
      <w:start w:val="1"/>
      <w:numFmt w:val="lowerLetter"/>
      <w:lvlText w:val="%8."/>
      <w:lvlJc w:val="left"/>
      <w:pPr>
        <w:ind w:left="5358" w:hanging="360"/>
      </w:pPr>
    </w:lvl>
    <w:lvl w:ilvl="8" w:tplc="0C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" w15:restartNumberingAfterBreak="0">
    <w:nsid w:val="093A1BF9"/>
    <w:multiLevelType w:val="hybridMultilevel"/>
    <w:tmpl w:val="93FA4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119E1"/>
    <w:multiLevelType w:val="multilevel"/>
    <w:tmpl w:val="0EA085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876AB"/>
    <w:multiLevelType w:val="hybridMultilevel"/>
    <w:tmpl w:val="967EC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A6A9C"/>
    <w:multiLevelType w:val="hybridMultilevel"/>
    <w:tmpl w:val="C97E9A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7BD6"/>
    <w:multiLevelType w:val="multilevel"/>
    <w:tmpl w:val="03C8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E22989"/>
    <w:multiLevelType w:val="hybridMultilevel"/>
    <w:tmpl w:val="AB5C8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00627"/>
    <w:multiLevelType w:val="hybridMultilevel"/>
    <w:tmpl w:val="F75E8C08"/>
    <w:lvl w:ilvl="0" w:tplc="06A0A8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90471"/>
    <w:multiLevelType w:val="hybridMultilevel"/>
    <w:tmpl w:val="4EB4C9FE"/>
    <w:lvl w:ilvl="0" w:tplc="7B062D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53759E0"/>
    <w:multiLevelType w:val="hybridMultilevel"/>
    <w:tmpl w:val="AF0E24C6"/>
    <w:lvl w:ilvl="0" w:tplc="2FA65BEE">
      <w:start w:val="1"/>
      <w:numFmt w:val="decimal"/>
      <w:lvlText w:val="%1."/>
      <w:lvlJc w:val="left"/>
      <w:pPr>
        <w:ind w:left="765" w:hanging="360"/>
      </w:pPr>
      <w:rPr>
        <w:rFonts w:asciiTheme="minorHAnsi" w:eastAsia="Times New Roman" w:hAnsiTheme="minorHAnsi" w:cstheme="minorHAnsi"/>
        <w:color w:val="auto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8A32D5F"/>
    <w:multiLevelType w:val="multilevel"/>
    <w:tmpl w:val="92A64F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0E7A5B"/>
    <w:multiLevelType w:val="hybridMultilevel"/>
    <w:tmpl w:val="A6E4EF64"/>
    <w:lvl w:ilvl="0" w:tplc="0C09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4" w15:restartNumberingAfterBreak="0">
    <w:nsid w:val="321F7A43"/>
    <w:multiLevelType w:val="multilevel"/>
    <w:tmpl w:val="5096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1B61AE"/>
    <w:multiLevelType w:val="hybridMultilevel"/>
    <w:tmpl w:val="B5E6E518"/>
    <w:lvl w:ilvl="0" w:tplc="D4484D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D4F7E"/>
    <w:multiLevelType w:val="multilevel"/>
    <w:tmpl w:val="973C45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9C48FD"/>
    <w:multiLevelType w:val="hybridMultilevel"/>
    <w:tmpl w:val="B1E8C16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1D7D0C"/>
    <w:multiLevelType w:val="hybridMultilevel"/>
    <w:tmpl w:val="EAC4FFAC"/>
    <w:lvl w:ilvl="0" w:tplc="06A0A8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74B4C"/>
    <w:multiLevelType w:val="multilevel"/>
    <w:tmpl w:val="E5C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E87DE0"/>
    <w:multiLevelType w:val="hybridMultilevel"/>
    <w:tmpl w:val="8FDE9F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2208C5"/>
    <w:multiLevelType w:val="hybridMultilevel"/>
    <w:tmpl w:val="3F120BB2"/>
    <w:lvl w:ilvl="0" w:tplc="E35826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463937EC"/>
    <w:multiLevelType w:val="hybridMultilevel"/>
    <w:tmpl w:val="F75E8C08"/>
    <w:lvl w:ilvl="0" w:tplc="06A0A8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0139D"/>
    <w:multiLevelType w:val="multilevel"/>
    <w:tmpl w:val="21F0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D21337"/>
    <w:multiLevelType w:val="multilevel"/>
    <w:tmpl w:val="D2BA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826DB3"/>
    <w:multiLevelType w:val="hybridMultilevel"/>
    <w:tmpl w:val="C074A3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B5DBD"/>
    <w:multiLevelType w:val="hybridMultilevel"/>
    <w:tmpl w:val="A68A98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7" w15:restartNumberingAfterBreak="0">
    <w:nsid w:val="4D811A5E"/>
    <w:multiLevelType w:val="multilevel"/>
    <w:tmpl w:val="76F2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2B58D6"/>
    <w:multiLevelType w:val="multilevel"/>
    <w:tmpl w:val="856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0C799A"/>
    <w:multiLevelType w:val="hybridMultilevel"/>
    <w:tmpl w:val="B67653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40040"/>
    <w:multiLevelType w:val="hybridMultilevel"/>
    <w:tmpl w:val="AA7CE6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02299"/>
    <w:multiLevelType w:val="hybridMultilevel"/>
    <w:tmpl w:val="ECEEE468"/>
    <w:lvl w:ilvl="0" w:tplc="0C09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391" w:hanging="360"/>
      </w:pPr>
    </w:lvl>
    <w:lvl w:ilvl="2" w:tplc="0C09001B" w:tentative="1">
      <w:start w:val="1"/>
      <w:numFmt w:val="lowerRoman"/>
      <w:lvlText w:val="%3."/>
      <w:lvlJc w:val="right"/>
      <w:pPr>
        <w:ind w:left="2111" w:hanging="180"/>
      </w:pPr>
    </w:lvl>
    <w:lvl w:ilvl="3" w:tplc="0C09000F" w:tentative="1">
      <w:start w:val="1"/>
      <w:numFmt w:val="decimal"/>
      <w:lvlText w:val="%4."/>
      <w:lvlJc w:val="left"/>
      <w:pPr>
        <w:ind w:left="2831" w:hanging="360"/>
      </w:pPr>
    </w:lvl>
    <w:lvl w:ilvl="4" w:tplc="0C090019" w:tentative="1">
      <w:start w:val="1"/>
      <w:numFmt w:val="lowerLetter"/>
      <w:lvlText w:val="%5."/>
      <w:lvlJc w:val="left"/>
      <w:pPr>
        <w:ind w:left="3551" w:hanging="360"/>
      </w:pPr>
    </w:lvl>
    <w:lvl w:ilvl="5" w:tplc="0C09001B" w:tentative="1">
      <w:start w:val="1"/>
      <w:numFmt w:val="lowerRoman"/>
      <w:lvlText w:val="%6."/>
      <w:lvlJc w:val="right"/>
      <w:pPr>
        <w:ind w:left="4271" w:hanging="180"/>
      </w:pPr>
    </w:lvl>
    <w:lvl w:ilvl="6" w:tplc="0C09000F" w:tentative="1">
      <w:start w:val="1"/>
      <w:numFmt w:val="decimal"/>
      <w:lvlText w:val="%7."/>
      <w:lvlJc w:val="left"/>
      <w:pPr>
        <w:ind w:left="4991" w:hanging="360"/>
      </w:pPr>
    </w:lvl>
    <w:lvl w:ilvl="7" w:tplc="0C090019" w:tentative="1">
      <w:start w:val="1"/>
      <w:numFmt w:val="lowerLetter"/>
      <w:lvlText w:val="%8."/>
      <w:lvlJc w:val="left"/>
      <w:pPr>
        <w:ind w:left="5711" w:hanging="360"/>
      </w:pPr>
    </w:lvl>
    <w:lvl w:ilvl="8" w:tplc="0C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2" w15:restartNumberingAfterBreak="0">
    <w:nsid w:val="59706FE1"/>
    <w:multiLevelType w:val="multilevel"/>
    <w:tmpl w:val="C1BE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C14B41"/>
    <w:multiLevelType w:val="hybridMultilevel"/>
    <w:tmpl w:val="5D5E695C"/>
    <w:lvl w:ilvl="0" w:tplc="F10C06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5DAB40CA"/>
    <w:multiLevelType w:val="multilevel"/>
    <w:tmpl w:val="9A74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19301D"/>
    <w:multiLevelType w:val="hybridMultilevel"/>
    <w:tmpl w:val="FE0473CE"/>
    <w:lvl w:ilvl="0" w:tplc="0C090001">
      <w:start w:val="1"/>
      <w:numFmt w:val="bullet"/>
      <w:lvlText w:val=""/>
      <w:lvlJc w:val="left"/>
      <w:pPr>
        <w:ind w:left="318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38" w:hanging="360"/>
      </w:pPr>
    </w:lvl>
    <w:lvl w:ilvl="2" w:tplc="0C09001B" w:tentative="1">
      <w:start w:val="1"/>
      <w:numFmt w:val="lowerRoman"/>
      <w:lvlText w:val="%3."/>
      <w:lvlJc w:val="right"/>
      <w:pPr>
        <w:ind w:left="1758" w:hanging="180"/>
      </w:pPr>
    </w:lvl>
    <w:lvl w:ilvl="3" w:tplc="0C09000F" w:tentative="1">
      <w:start w:val="1"/>
      <w:numFmt w:val="decimal"/>
      <w:lvlText w:val="%4."/>
      <w:lvlJc w:val="left"/>
      <w:pPr>
        <w:ind w:left="2478" w:hanging="360"/>
      </w:pPr>
    </w:lvl>
    <w:lvl w:ilvl="4" w:tplc="0C090019" w:tentative="1">
      <w:start w:val="1"/>
      <w:numFmt w:val="lowerLetter"/>
      <w:lvlText w:val="%5."/>
      <w:lvlJc w:val="left"/>
      <w:pPr>
        <w:ind w:left="3198" w:hanging="360"/>
      </w:pPr>
    </w:lvl>
    <w:lvl w:ilvl="5" w:tplc="0C09001B" w:tentative="1">
      <w:start w:val="1"/>
      <w:numFmt w:val="lowerRoman"/>
      <w:lvlText w:val="%6."/>
      <w:lvlJc w:val="right"/>
      <w:pPr>
        <w:ind w:left="3918" w:hanging="180"/>
      </w:pPr>
    </w:lvl>
    <w:lvl w:ilvl="6" w:tplc="0C09000F" w:tentative="1">
      <w:start w:val="1"/>
      <w:numFmt w:val="decimal"/>
      <w:lvlText w:val="%7."/>
      <w:lvlJc w:val="left"/>
      <w:pPr>
        <w:ind w:left="4638" w:hanging="360"/>
      </w:pPr>
    </w:lvl>
    <w:lvl w:ilvl="7" w:tplc="0C090019" w:tentative="1">
      <w:start w:val="1"/>
      <w:numFmt w:val="lowerLetter"/>
      <w:lvlText w:val="%8."/>
      <w:lvlJc w:val="left"/>
      <w:pPr>
        <w:ind w:left="5358" w:hanging="360"/>
      </w:pPr>
    </w:lvl>
    <w:lvl w:ilvl="8" w:tplc="0C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6" w15:restartNumberingAfterBreak="0">
    <w:nsid w:val="61054BC9"/>
    <w:multiLevelType w:val="multilevel"/>
    <w:tmpl w:val="483E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3E336C2"/>
    <w:multiLevelType w:val="multilevel"/>
    <w:tmpl w:val="C5F2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3357BF"/>
    <w:multiLevelType w:val="multilevel"/>
    <w:tmpl w:val="1DA0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166ADC"/>
    <w:multiLevelType w:val="multilevel"/>
    <w:tmpl w:val="A970B6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7F70C8"/>
    <w:multiLevelType w:val="multilevel"/>
    <w:tmpl w:val="E700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BC53BA5"/>
    <w:multiLevelType w:val="multilevel"/>
    <w:tmpl w:val="E2D0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0343BF"/>
    <w:multiLevelType w:val="multilevel"/>
    <w:tmpl w:val="5BC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AC3425"/>
    <w:multiLevelType w:val="hybridMultilevel"/>
    <w:tmpl w:val="EA08EFA0"/>
    <w:lvl w:ilvl="0" w:tplc="A22AC23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 w15:restartNumberingAfterBreak="0">
    <w:nsid w:val="75923DE4"/>
    <w:multiLevelType w:val="hybridMultilevel"/>
    <w:tmpl w:val="1A94029E"/>
    <w:lvl w:ilvl="0" w:tplc="D5B2B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C5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BC4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182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8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AE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88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C0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109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62F365D"/>
    <w:multiLevelType w:val="hybridMultilevel"/>
    <w:tmpl w:val="7DA0ED8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6" w15:restartNumberingAfterBreak="0">
    <w:nsid w:val="7EF67A49"/>
    <w:multiLevelType w:val="multilevel"/>
    <w:tmpl w:val="2D58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C90637"/>
    <w:multiLevelType w:val="multilevel"/>
    <w:tmpl w:val="3620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7316350">
    <w:abstractNumId w:val="18"/>
  </w:num>
  <w:num w:numId="2" w16cid:durableId="371465429">
    <w:abstractNumId w:val="15"/>
  </w:num>
  <w:num w:numId="3" w16cid:durableId="62874043">
    <w:abstractNumId w:val="11"/>
  </w:num>
  <w:num w:numId="4" w16cid:durableId="280648173">
    <w:abstractNumId w:val="2"/>
  </w:num>
  <w:num w:numId="5" w16cid:durableId="837617919">
    <w:abstractNumId w:val="21"/>
  </w:num>
  <w:num w:numId="6" w16cid:durableId="539393438">
    <w:abstractNumId w:val="43"/>
  </w:num>
  <w:num w:numId="7" w16cid:durableId="1373916198">
    <w:abstractNumId w:val="33"/>
  </w:num>
  <w:num w:numId="8" w16cid:durableId="1907258180">
    <w:abstractNumId w:val="10"/>
  </w:num>
  <w:num w:numId="9" w16cid:durableId="1100643353">
    <w:abstractNumId w:val="9"/>
  </w:num>
  <w:num w:numId="10" w16cid:durableId="591550838">
    <w:abstractNumId w:val="22"/>
  </w:num>
  <w:num w:numId="11" w16cid:durableId="1154760786">
    <w:abstractNumId w:val="30"/>
  </w:num>
  <w:num w:numId="12" w16cid:durableId="1962688099">
    <w:abstractNumId w:val="5"/>
  </w:num>
  <w:num w:numId="13" w16cid:durableId="1974406661">
    <w:abstractNumId w:val="8"/>
  </w:num>
  <w:num w:numId="14" w16cid:durableId="797336815">
    <w:abstractNumId w:val="35"/>
  </w:num>
  <w:num w:numId="15" w16cid:durableId="1467235770">
    <w:abstractNumId w:val="25"/>
  </w:num>
  <w:num w:numId="16" w16cid:durableId="396825877">
    <w:abstractNumId w:val="31"/>
  </w:num>
  <w:num w:numId="17" w16cid:durableId="509367885">
    <w:abstractNumId w:val="3"/>
  </w:num>
  <w:num w:numId="18" w16cid:durableId="744648831">
    <w:abstractNumId w:val="1"/>
  </w:num>
  <w:num w:numId="19" w16cid:durableId="582375533">
    <w:abstractNumId w:val="13"/>
  </w:num>
  <w:num w:numId="20" w16cid:durableId="2049721480">
    <w:abstractNumId w:val="45"/>
  </w:num>
  <w:num w:numId="21" w16cid:durableId="1500267578">
    <w:abstractNumId w:val="26"/>
  </w:num>
  <w:num w:numId="22" w16cid:durableId="2125538082">
    <w:abstractNumId w:val="29"/>
  </w:num>
  <w:num w:numId="23" w16cid:durableId="1044796666">
    <w:abstractNumId w:val="16"/>
  </w:num>
  <w:num w:numId="24" w16cid:durableId="1237547177">
    <w:abstractNumId w:val="4"/>
  </w:num>
  <w:num w:numId="25" w16cid:durableId="1501702399">
    <w:abstractNumId w:val="39"/>
  </w:num>
  <w:num w:numId="26" w16cid:durableId="1298532393">
    <w:abstractNumId w:val="12"/>
  </w:num>
  <w:num w:numId="27" w16cid:durableId="685330618">
    <w:abstractNumId w:val="38"/>
  </w:num>
  <w:num w:numId="28" w16cid:durableId="390858388">
    <w:abstractNumId w:val="46"/>
  </w:num>
  <w:num w:numId="29" w16cid:durableId="737092348">
    <w:abstractNumId w:val="34"/>
  </w:num>
  <w:num w:numId="30" w16cid:durableId="430931583">
    <w:abstractNumId w:val="32"/>
  </w:num>
  <w:num w:numId="31" w16cid:durableId="87317479">
    <w:abstractNumId w:val="28"/>
  </w:num>
  <w:num w:numId="32" w16cid:durableId="1535657531">
    <w:abstractNumId w:val="36"/>
  </w:num>
  <w:num w:numId="33" w16cid:durableId="1744331431">
    <w:abstractNumId w:val="7"/>
  </w:num>
  <w:num w:numId="34" w16cid:durableId="1173684782">
    <w:abstractNumId w:val="40"/>
  </w:num>
  <w:num w:numId="35" w16cid:durableId="1710837205">
    <w:abstractNumId w:val="27"/>
  </w:num>
  <w:num w:numId="36" w16cid:durableId="203366803">
    <w:abstractNumId w:val="19"/>
  </w:num>
  <w:num w:numId="37" w16cid:durableId="616135812">
    <w:abstractNumId w:val="24"/>
  </w:num>
  <w:num w:numId="38" w16cid:durableId="1420100963">
    <w:abstractNumId w:val="23"/>
  </w:num>
  <w:num w:numId="39" w16cid:durableId="1462262379">
    <w:abstractNumId w:val="47"/>
  </w:num>
  <w:num w:numId="40" w16cid:durableId="2032950205">
    <w:abstractNumId w:val="37"/>
  </w:num>
  <w:num w:numId="41" w16cid:durableId="993024506">
    <w:abstractNumId w:val="14"/>
  </w:num>
  <w:num w:numId="42" w16cid:durableId="1696268666">
    <w:abstractNumId w:val="41"/>
  </w:num>
  <w:num w:numId="43" w16cid:durableId="1593968772">
    <w:abstractNumId w:val="0"/>
  </w:num>
  <w:num w:numId="44" w16cid:durableId="970013444">
    <w:abstractNumId w:val="42"/>
  </w:num>
  <w:num w:numId="45" w16cid:durableId="1589120191">
    <w:abstractNumId w:val="44"/>
  </w:num>
  <w:num w:numId="46" w16cid:durableId="1239443707">
    <w:abstractNumId w:val="20"/>
  </w:num>
  <w:num w:numId="47" w16cid:durableId="595744924">
    <w:abstractNumId w:val="6"/>
  </w:num>
  <w:num w:numId="48" w16cid:durableId="3508441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49D"/>
    <w:rsid w:val="00001E63"/>
    <w:rsid w:val="00001F96"/>
    <w:rsid w:val="000049A1"/>
    <w:rsid w:val="00022CDF"/>
    <w:rsid w:val="00041FA4"/>
    <w:rsid w:val="0004365E"/>
    <w:rsid w:val="000436A6"/>
    <w:rsid w:val="000578BA"/>
    <w:rsid w:val="0007547F"/>
    <w:rsid w:val="000755A2"/>
    <w:rsid w:val="00093309"/>
    <w:rsid w:val="0009369E"/>
    <w:rsid w:val="0009404E"/>
    <w:rsid w:val="000A72A1"/>
    <w:rsid w:val="000A779F"/>
    <w:rsid w:val="000B1B20"/>
    <w:rsid w:val="000C7D8D"/>
    <w:rsid w:val="000D42DE"/>
    <w:rsid w:val="000D6AB0"/>
    <w:rsid w:val="000E670A"/>
    <w:rsid w:val="000F11AF"/>
    <w:rsid w:val="000F420E"/>
    <w:rsid w:val="001225E9"/>
    <w:rsid w:val="00125987"/>
    <w:rsid w:val="0012794B"/>
    <w:rsid w:val="00134D32"/>
    <w:rsid w:val="0014547F"/>
    <w:rsid w:val="0015174B"/>
    <w:rsid w:val="00160385"/>
    <w:rsid w:val="00162C20"/>
    <w:rsid w:val="00163F4B"/>
    <w:rsid w:val="00177A10"/>
    <w:rsid w:val="00180760"/>
    <w:rsid w:val="00186805"/>
    <w:rsid w:val="00190028"/>
    <w:rsid w:val="00194B05"/>
    <w:rsid w:val="00195360"/>
    <w:rsid w:val="001A63F7"/>
    <w:rsid w:val="001A7906"/>
    <w:rsid w:val="001C4E90"/>
    <w:rsid w:val="001D7CB4"/>
    <w:rsid w:val="001E0C8B"/>
    <w:rsid w:val="001E13F1"/>
    <w:rsid w:val="001E1B52"/>
    <w:rsid w:val="001E6DEA"/>
    <w:rsid w:val="001F2268"/>
    <w:rsid w:val="001F3B09"/>
    <w:rsid w:val="001F5680"/>
    <w:rsid w:val="001F6DAF"/>
    <w:rsid w:val="00202049"/>
    <w:rsid w:val="002033A4"/>
    <w:rsid w:val="00216AEB"/>
    <w:rsid w:val="00220623"/>
    <w:rsid w:val="00224F64"/>
    <w:rsid w:val="00237354"/>
    <w:rsid w:val="00237B7C"/>
    <w:rsid w:val="0024001D"/>
    <w:rsid w:val="00242B0E"/>
    <w:rsid w:val="0025379A"/>
    <w:rsid w:val="00272DC2"/>
    <w:rsid w:val="00273076"/>
    <w:rsid w:val="00280E1A"/>
    <w:rsid w:val="002879C7"/>
    <w:rsid w:val="002A5FD2"/>
    <w:rsid w:val="002A7685"/>
    <w:rsid w:val="002C4269"/>
    <w:rsid w:val="002C73C5"/>
    <w:rsid w:val="002E10E3"/>
    <w:rsid w:val="00305D33"/>
    <w:rsid w:val="003067E7"/>
    <w:rsid w:val="003148F3"/>
    <w:rsid w:val="00314F54"/>
    <w:rsid w:val="0032030C"/>
    <w:rsid w:val="0032049A"/>
    <w:rsid w:val="003275B3"/>
    <w:rsid w:val="00342CDA"/>
    <w:rsid w:val="00354D75"/>
    <w:rsid w:val="00366313"/>
    <w:rsid w:val="003854A0"/>
    <w:rsid w:val="00387376"/>
    <w:rsid w:val="00392C0C"/>
    <w:rsid w:val="003A5AA1"/>
    <w:rsid w:val="003B3289"/>
    <w:rsid w:val="003D64AF"/>
    <w:rsid w:val="003E6332"/>
    <w:rsid w:val="003F5A8D"/>
    <w:rsid w:val="004141A6"/>
    <w:rsid w:val="00433C12"/>
    <w:rsid w:val="00434993"/>
    <w:rsid w:val="004422C2"/>
    <w:rsid w:val="00442634"/>
    <w:rsid w:val="0046533F"/>
    <w:rsid w:val="0047094A"/>
    <w:rsid w:val="00472CE4"/>
    <w:rsid w:val="0048785D"/>
    <w:rsid w:val="004B0EF1"/>
    <w:rsid w:val="004B41C5"/>
    <w:rsid w:val="004C01D8"/>
    <w:rsid w:val="004C2362"/>
    <w:rsid w:val="004C4D49"/>
    <w:rsid w:val="004C7E38"/>
    <w:rsid w:val="004D59B3"/>
    <w:rsid w:val="004D68A4"/>
    <w:rsid w:val="004E1E9C"/>
    <w:rsid w:val="004E2E33"/>
    <w:rsid w:val="004E76E4"/>
    <w:rsid w:val="004F656B"/>
    <w:rsid w:val="005042F8"/>
    <w:rsid w:val="00504727"/>
    <w:rsid w:val="00515B83"/>
    <w:rsid w:val="00527DB6"/>
    <w:rsid w:val="005336C7"/>
    <w:rsid w:val="00564140"/>
    <w:rsid w:val="0058739F"/>
    <w:rsid w:val="00587850"/>
    <w:rsid w:val="00594255"/>
    <w:rsid w:val="005963EA"/>
    <w:rsid w:val="005A58A0"/>
    <w:rsid w:val="005B5450"/>
    <w:rsid w:val="005C32D8"/>
    <w:rsid w:val="005C5DE6"/>
    <w:rsid w:val="005D3DAF"/>
    <w:rsid w:val="005D48D3"/>
    <w:rsid w:val="005D4EEC"/>
    <w:rsid w:val="005D7F51"/>
    <w:rsid w:val="005E73E5"/>
    <w:rsid w:val="00613772"/>
    <w:rsid w:val="006272FE"/>
    <w:rsid w:val="0063407B"/>
    <w:rsid w:val="006343FE"/>
    <w:rsid w:val="0063571C"/>
    <w:rsid w:val="00657A38"/>
    <w:rsid w:val="0068144A"/>
    <w:rsid w:val="006A13D8"/>
    <w:rsid w:val="006A626D"/>
    <w:rsid w:val="006B07C9"/>
    <w:rsid w:val="006B53F3"/>
    <w:rsid w:val="006C0436"/>
    <w:rsid w:val="006C0FD9"/>
    <w:rsid w:val="006C5CE5"/>
    <w:rsid w:val="006C5F45"/>
    <w:rsid w:val="006D00A9"/>
    <w:rsid w:val="006D0CD2"/>
    <w:rsid w:val="006E0A68"/>
    <w:rsid w:val="0070151C"/>
    <w:rsid w:val="00721B3A"/>
    <w:rsid w:val="00725EAD"/>
    <w:rsid w:val="00756095"/>
    <w:rsid w:val="00757168"/>
    <w:rsid w:val="007669AA"/>
    <w:rsid w:val="00773DEE"/>
    <w:rsid w:val="00774C96"/>
    <w:rsid w:val="00796943"/>
    <w:rsid w:val="00797314"/>
    <w:rsid w:val="007B2818"/>
    <w:rsid w:val="007C4BAA"/>
    <w:rsid w:val="007C532B"/>
    <w:rsid w:val="007D03E5"/>
    <w:rsid w:val="007D67C0"/>
    <w:rsid w:val="007E62FA"/>
    <w:rsid w:val="00804458"/>
    <w:rsid w:val="008232EC"/>
    <w:rsid w:val="008277A2"/>
    <w:rsid w:val="00850311"/>
    <w:rsid w:val="00854231"/>
    <w:rsid w:val="008542F4"/>
    <w:rsid w:val="00855695"/>
    <w:rsid w:val="00857318"/>
    <w:rsid w:val="00863B00"/>
    <w:rsid w:val="00863F05"/>
    <w:rsid w:val="00874F10"/>
    <w:rsid w:val="00884CAF"/>
    <w:rsid w:val="00886E50"/>
    <w:rsid w:val="00887018"/>
    <w:rsid w:val="008911B4"/>
    <w:rsid w:val="0089443C"/>
    <w:rsid w:val="008957C2"/>
    <w:rsid w:val="008D19D6"/>
    <w:rsid w:val="008D1E8D"/>
    <w:rsid w:val="008E02FE"/>
    <w:rsid w:val="008E0434"/>
    <w:rsid w:val="008E0DE9"/>
    <w:rsid w:val="008F13F1"/>
    <w:rsid w:val="009002B4"/>
    <w:rsid w:val="009019AE"/>
    <w:rsid w:val="00937470"/>
    <w:rsid w:val="00944E13"/>
    <w:rsid w:val="00954D36"/>
    <w:rsid w:val="00956981"/>
    <w:rsid w:val="00957185"/>
    <w:rsid w:val="00964577"/>
    <w:rsid w:val="009951E4"/>
    <w:rsid w:val="00995529"/>
    <w:rsid w:val="00996BF9"/>
    <w:rsid w:val="009B7596"/>
    <w:rsid w:val="009C2067"/>
    <w:rsid w:val="009C3649"/>
    <w:rsid w:val="009D3FBF"/>
    <w:rsid w:val="009D7016"/>
    <w:rsid w:val="009D7303"/>
    <w:rsid w:val="009E26EB"/>
    <w:rsid w:val="009E448A"/>
    <w:rsid w:val="009E7591"/>
    <w:rsid w:val="00A47939"/>
    <w:rsid w:val="00A51D34"/>
    <w:rsid w:val="00A52649"/>
    <w:rsid w:val="00A63332"/>
    <w:rsid w:val="00A63C6B"/>
    <w:rsid w:val="00A75565"/>
    <w:rsid w:val="00AA16A4"/>
    <w:rsid w:val="00AB5020"/>
    <w:rsid w:val="00AC4940"/>
    <w:rsid w:val="00AE6A64"/>
    <w:rsid w:val="00AF38D5"/>
    <w:rsid w:val="00B11461"/>
    <w:rsid w:val="00B2772B"/>
    <w:rsid w:val="00B41A45"/>
    <w:rsid w:val="00B42B9B"/>
    <w:rsid w:val="00B5346E"/>
    <w:rsid w:val="00B5682B"/>
    <w:rsid w:val="00B660FF"/>
    <w:rsid w:val="00B7469E"/>
    <w:rsid w:val="00B75904"/>
    <w:rsid w:val="00B81E74"/>
    <w:rsid w:val="00B83567"/>
    <w:rsid w:val="00B87995"/>
    <w:rsid w:val="00B92217"/>
    <w:rsid w:val="00BA21C0"/>
    <w:rsid w:val="00BA252B"/>
    <w:rsid w:val="00BA527B"/>
    <w:rsid w:val="00BB141F"/>
    <w:rsid w:val="00BC3DA8"/>
    <w:rsid w:val="00BC5C0E"/>
    <w:rsid w:val="00BC5EA2"/>
    <w:rsid w:val="00BE129E"/>
    <w:rsid w:val="00BE24C6"/>
    <w:rsid w:val="00BE2730"/>
    <w:rsid w:val="00BF3BB7"/>
    <w:rsid w:val="00C36CD3"/>
    <w:rsid w:val="00C437BE"/>
    <w:rsid w:val="00C517E0"/>
    <w:rsid w:val="00C67FCD"/>
    <w:rsid w:val="00C82490"/>
    <w:rsid w:val="00C91805"/>
    <w:rsid w:val="00CA3229"/>
    <w:rsid w:val="00CC0051"/>
    <w:rsid w:val="00CF19B9"/>
    <w:rsid w:val="00CF68D0"/>
    <w:rsid w:val="00D127FA"/>
    <w:rsid w:val="00D333C7"/>
    <w:rsid w:val="00D350BD"/>
    <w:rsid w:val="00D357BB"/>
    <w:rsid w:val="00D41781"/>
    <w:rsid w:val="00D55C9C"/>
    <w:rsid w:val="00D61009"/>
    <w:rsid w:val="00D62E35"/>
    <w:rsid w:val="00D6585C"/>
    <w:rsid w:val="00D817D5"/>
    <w:rsid w:val="00D967B5"/>
    <w:rsid w:val="00D9699D"/>
    <w:rsid w:val="00DA0AD9"/>
    <w:rsid w:val="00DB51F8"/>
    <w:rsid w:val="00DC3D88"/>
    <w:rsid w:val="00DD2FC1"/>
    <w:rsid w:val="00DF25E9"/>
    <w:rsid w:val="00DF549C"/>
    <w:rsid w:val="00DF649D"/>
    <w:rsid w:val="00E047A7"/>
    <w:rsid w:val="00E06A13"/>
    <w:rsid w:val="00E15B6F"/>
    <w:rsid w:val="00E22A35"/>
    <w:rsid w:val="00E31433"/>
    <w:rsid w:val="00E51059"/>
    <w:rsid w:val="00E512AB"/>
    <w:rsid w:val="00E530DF"/>
    <w:rsid w:val="00E56901"/>
    <w:rsid w:val="00E56E71"/>
    <w:rsid w:val="00E720CB"/>
    <w:rsid w:val="00E74F0A"/>
    <w:rsid w:val="00EA4564"/>
    <w:rsid w:val="00EB7215"/>
    <w:rsid w:val="00ED33B9"/>
    <w:rsid w:val="00EE675C"/>
    <w:rsid w:val="00EF2C4E"/>
    <w:rsid w:val="00EF6581"/>
    <w:rsid w:val="00F03A36"/>
    <w:rsid w:val="00F14B1C"/>
    <w:rsid w:val="00F15466"/>
    <w:rsid w:val="00F2587D"/>
    <w:rsid w:val="00F30114"/>
    <w:rsid w:val="00F31E8A"/>
    <w:rsid w:val="00F33010"/>
    <w:rsid w:val="00F353C4"/>
    <w:rsid w:val="00F4786E"/>
    <w:rsid w:val="00F57182"/>
    <w:rsid w:val="00F7130F"/>
    <w:rsid w:val="00F721DB"/>
    <w:rsid w:val="00F72E00"/>
    <w:rsid w:val="00F749C4"/>
    <w:rsid w:val="00F81CC3"/>
    <w:rsid w:val="00F84079"/>
    <w:rsid w:val="00F94C71"/>
    <w:rsid w:val="00FA3822"/>
    <w:rsid w:val="00FA7ED4"/>
    <w:rsid w:val="00FB4531"/>
    <w:rsid w:val="00FC2E8F"/>
    <w:rsid w:val="00FC3D69"/>
    <w:rsid w:val="00FC5570"/>
    <w:rsid w:val="00FD6850"/>
    <w:rsid w:val="00FE33FC"/>
    <w:rsid w:val="00FE638E"/>
    <w:rsid w:val="0B01E402"/>
    <w:rsid w:val="1C47D809"/>
    <w:rsid w:val="47606977"/>
    <w:rsid w:val="48165CEE"/>
    <w:rsid w:val="5889A481"/>
    <w:rsid w:val="5F765CD2"/>
    <w:rsid w:val="5FD53F34"/>
    <w:rsid w:val="67E54527"/>
    <w:rsid w:val="78D59988"/>
    <w:rsid w:val="7F65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FB11F7"/>
  <w15:docId w15:val="{2234C6FB-470E-4AC3-9E8B-5781F817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2E33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F649D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F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6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4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2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BAA"/>
  </w:style>
  <w:style w:type="paragraph" w:styleId="Footer">
    <w:name w:val="footer"/>
    <w:basedOn w:val="Normal"/>
    <w:link w:val="FooterChar"/>
    <w:uiPriority w:val="99"/>
    <w:unhideWhenUsed/>
    <w:rsid w:val="007C4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BAA"/>
  </w:style>
  <w:style w:type="paragraph" w:styleId="BalloonText">
    <w:name w:val="Balloon Text"/>
    <w:basedOn w:val="Normal"/>
    <w:link w:val="BalloonTextChar"/>
    <w:uiPriority w:val="99"/>
    <w:semiHidden/>
    <w:unhideWhenUsed/>
    <w:rsid w:val="00BA2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2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1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1C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17D5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3C1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1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14B1C"/>
  </w:style>
  <w:style w:type="character" w:customStyle="1" w:styleId="eop">
    <w:name w:val="eop"/>
    <w:basedOn w:val="DefaultParagraphFont"/>
    <w:rsid w:val="00F14B1C"/>
  </w:style>
  <w:style w:type="paragraph" w:styleId="FootnoteText">
    <w:name w:val="footnote text"/>
    <w:basedOn w:val="Normal"/>
    <w:link w:val="FootnoteTextChar"/>
    <w:uiPriority w:val="99"/>
    <w:semiHidden/>
    <w:unhideWhenUsed/>
    <w:rsid w:val="00FD68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8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850"/>
    <w:rPr>
      <w:vertAlign w:val="superscript"/>
    </w:rPr>
  </w:style>
  <w:style w:type="paragraph" w:customStyle="1" w:styleId="Default">
    <w:name w:val="Default"/>
    <w:rsid w:val="000F4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E670A"/>
    <w:pPr>
      <w:widowControl w:val="0"/>
      <w:autoSpaceDE w:val="0"/>
      <w:autoSpaceDN w:val="0"/>
      <w:spacing w:before="29" w:after="0" w:line="240" w:lineRule="auto"/>
      <w:ind w:left="4452" w:right="1929" w:hanging="1458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670A"/>
    <w:rPr>
      <w:rFonts w:ascii="Calibri" w:eastAsia="Calibri" w:hAnsi="Calibri" w:cs="Calibr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E2E33"/>
    <w:rPr>
      <w:rFonts w:ascii="Calibri" w:eastAsia="Calibri" w:hAnsi="Calibri" w:cs="Calibri"/>
      <w:b/>
      <w:bCs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C67FCD"/>
    <w:pPr>
      <w:spacing w:after="0" w:line="240" w:lineRule="auto"/>
    </w:pPr>
    <w:rPr>
      <w:rFonts w:ascii="Calibri" w:eastAsia="Calibri" w:hAnsi="Calibri" w:cs="Calibri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alibrary.on.worldcat.org/courseReserves/landing" TargetMode="External"/><Relationship Id="rId18" Type="http://schemas.openxmlformats.org/officeDocument/2006/relationships/hyperlink" Target="https://apicollege.edu.au/policies-and-regulation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apic.instructure.com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apicollege.edu.au/policies-and-regulation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picollege.edu.au/policies-and-regulations/" TargetMode="External"/><Relationship Id="rId20" Type="http://schemas.openxmlformats.org/officeDocument/2006/relationships/hyperlink" Target="https://apic.instructure.com/courses/3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apicollege.edu.au/policies-and-regulations/" TargetMode="External"/><Relationship Id="rId23" Type="http://schemas.openxmlformats.org/officeDocument/2006/relationships/hyperlink" Target="https://apicollege.edu.au/current-students/academic-calendar/" TargetMode="External"/><Relationship Id="rId10" Type="http://schemas.openxmlformats.org/officeDocument/2006/relationships/hyperlink" Target="https://apicollege.edu.au/current-students/timetables/" TargetMode="External"/><Relationship Id="rId19" Type="http://schemas.openxmlformats.org/officeDocument/2006/relationships/hyperlink" Target="https://apicollege.edu.au/policies-and-regula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picollege.edu.au/policies/ACADEMIC_INTEGRITY_POLICY.pdf" TargetMode="External"/><Relationship Id="rId22" Type="http://schemas.openxmlformats.org/officeDocument/2006/relationships/hyperlink" Target="https://apic.instructure.com/courses/35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ce3b4-2d33-45e9-b28e-529ba8f94254" xsi:nil="true"/>
    <lcf76f155ced4ddcb4097134ff3c332f xmlns="7e5a14dc-5355-48d9-954a-f439eefed1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62B13D5A19408192BF99963A69D4" ma:contentTypeVersion="14" ma:contentTypeDescription="Create a new document." ma:contentTypeScope="" ma:versionID="be536e460445d948e0a1b57d636a9d91">
  <xsd:schema xmlns:xsd="http://www.w3.org/2001/XMLSchema" xmlns:xs="http://www.w3.org/2001/XMLSchema" xmlns:p="http://schemas.microsoft.com/office/2006/metadata/properties" xmlns:ns2="7e5a14dc-5355-48d9-954a-f439eefed1ab" xmlns:ns3="acace3b4-2d33-45e9-b28e-529ba8f94254" targetNamespace="http://schemas.microsoft.com/office/2006/metadata/properties" ma:root="true" ma:fieldsID="fd736635fa4504b4551bd4173bd10fe8" ns2:_="" ns3:_="">
    <xsd:import namespace="7e5a14dc-5355-48d9-954a-f439eefed1ab"/>
    <xsd:import namespace="acace3b4-2d33-45e9-b28e-529ba8f94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14dc-5355-48d9-954a-f439eefed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2acb8f-31f8-48fd-a133-039687db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ce3b4-2d33-45e9-b28e-529ba8f942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47199e-3b3d-4eaf-9129-afc49d25cc48}" ma:internalName="TaxCatchAll" ma:showField="CatchAllData" ma:web="acace3b4-2d33-45e9-b28e-529ba8f94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8E8EA-8A3D-4EB7-88AA-D8592F5F598F}">
  <ds:schemaRefs>
    <ds:schemaRef ds:uri="http://schemas.microsoft.com/office/2006/metadata/properties"/>
    <ds:schemaRef ds:uri="http://schemas.microsoft.com/office/infopath/2007/PartnerControls"/>
    <ds:schemaRef ds:uri="acace3b4-2d33-45e9-b28e-529ba8f94254"/>
    <ds:schemaRef ds:uri="7e5a14dc-5355-48d9-954a-f439eefed1ab"/>
  </ds:schemaRefs>
</ds:datastoreItem>
</file>

<file path=customXml/itemProps2.xml><?xml version="1.0" encoding="utf-8"?>
<ds:datastoreItem xmlns:ds="http://schemas.openxmlformats.org/officeDocument/2006/customXml" ds:itemID="{B04469F6-363E-44BC-9E18-75C32FDF8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a14dc-5355-48d9-954a-f439eefed1ab"/>
    <ds:schemaRef ds:uri="acace3b4-2d33-45e9-b28e-529ba8f94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DF456-9F89-417E-8200-7CDFB4D2D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Study Group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Suhair Zaid Alkilani</dc:creator>
  <cp:lastModifiedBy>Ranajit Bairagi</cp:lastModifiedBy>
  <cp:revision>12</cp:revision>
  <dcterms:created xsi:type="dcterms:W3CDTF">2023-09-10T04:13:00Z</dcterms:created>
  <dcterms:modified xsi:type="dcterms:W3CDTF">2023-11-09T13:50:00Z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0x010100975A62B13D5A19408192BF99963A69D4</vt:lpwstr>
  </property>
  <property fmtid="{D5CDD505-2E9C-101B-9397-08002B2CF9AE}" pid="3" name="MediaServiceImageTags">
    <vt:lpwstr/>
  </property>
  <property fmtid="{D5CDD505-2E9C-101B-9397-08002B2CF9AE}" pid="4" name="GrammarlyDocumentId">
    <vt:lpwstr>e4566d875f0cbd7a379aec138972831c5d5ddb0f44d35bb5cdffc10e81e1ee3e</vt:lpwstr>
  </property>
</Properties>
</file>