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C68" w14:textId="20CCC911" w:rsidR="008F13F1" w:rsidRDefault="00DF649D" w:rsidP="007669AA">
      <w:pPr>
        <w:jc w:val="center"/>
        <w:rPr>
          <w:b/>
          <w:bCs/>
          <w:color w:val="000000" w:themeColor="text1"/>
          <w:sz w:val="28"/>
          <w:szCs w:val="28"/>
        </w:rPr>
      </w:pPr>
      <w:r w:rsidRPr="59E17BFE">
        <w:rPr>
          <w:b/>
          <w:bCs/>
          <w:color w:val="1F3864" w:themeColor="accent1" w:themeShade="80"/>
          <w:sz w:val="28"/>
          <w:szCs w:val="28"/>
        </w:rPr>
        <w:t xml:space="preserve">Unit of </w:t>
      </w:r>
      <w:r w:rsidRPr="59E17BFE">
        <w:rPr>
          <w:b/>
          <w:bCs/>
          <w:color w:val="000000" w:themeColor="text1"/>
          <w:sz w:val="28"/>
          <w:szCs w:val="28"/>
        </w:rPr>
        <w:t>Study:</w:t>
      </w:r>
      <w:r w:rsidRPr="59E17BFE">
        <w:rPr>
          <w:b/>
          <w:bCs/>
          <w:color w:val="000000" w:themeColor="text1"/>
          <w:sz w:val="24"/>
          <w:szCs w:val="24"/>
        </w:rPr>
        <w:t xml:space="preserve"> </w:t>
      </w:r>
      <w:r w:rsidR="00AE6D6B" w:rsidRPr="59E17BFE">
        <w:rPr>
          <w:b/>
          <w:bCs/>
          <w:color w:val="000000" w:themeColor="text1"/>
          <w:sz w:val="28"/>
          <w:szCs w:val="28"/>
        </w:rPr>
        <w:t>ICT5150</w:t>
      </w:r>
      <w:r w:rsidR="00D127FA" w:rsidRPr="59E17BFE">
        <w:rPr>
          <w:b/>
          <w:bCs/>
          <w:color w:val="000000" w:themeColor="text1"/>
          <w:sz w:val="28"/>
          <w:szCs w:val="28"/>
        </w:rPr>
        <w:t xml:space="preserve"> Information Systems</w:t>
      </w:r>
    </w:p>
    <w:p w14:paraId="069196BC" w14:textId="446247CD" w:rsidR="59E17BFE" w:rsidRDefault="59E17BFE" w:rsidP="59E17BFE">
      <w:pPr>
        <w:jc w:val="center"/>
        <w:rPr>
          <w:b/>
          <w:bCs/>
          <w:color w:val="FF0000"/>
          <w:sz w:val="28"/>
          <w:szCs w:val="28"/>
        </w:rPr>
      </w:pPr>
    </w:p>
    <w:p w14:paraId="051C15CA" w14:textId="1C57BF34" w:rsidR="007C4BAA" w:rsidRPr="003C364E" w:rsidRDefault="00DF649D" w:rsidP="5E87B5F7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 w:rsidRPr="5E87B5F7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6D3815F0" w14:textId="77777777" w:rsidR="003D64AF" w:rsidRPr="007C4BAA" w:rsidRDefault="003D64AF" w:rsidP="007C4BAA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48322193" w14:textId="2B295586" w:rsidR="00DF649D" w:rsidRDefault="003D64AF" w:rsidP="006F4EC7">
      <w:pPr>
        <w:jc w:val="both"/>
      </w:pPr>
      <w:r w:rsidRPr="003D64AF">
        <w:t xml:space="preserve">This unit provides students with a broad foundation of the interaction of people and Information Technology (IT). </w:t>
      </w:r>
      <w:r>
        <w:t xml:space="preserve">Students will consider </w:t>
      </w:r>
      <w:r w:rsidRPr="003D64AF">
        <w:t>the benefits, as well as the inherent risks, associated with the pervasive use of IT</w:t>
      </w:r>
      <w:r>
        <w:t xml:space="preserve"> through understanding </w:t>
      </w:r>
      <w:r w:rsidRPr="003D64AF">
        <w:t xml:space="preserve">the components and design of typical modern enterprise systems. </w:t>
      </w:r>
      <w:r>
        <w:t xml:space="preserve">Students will be introduced to </w:t>
      </w:r>
      <w:r w:rsidRPr="003D64AF">
        <w:t xml:space="preserve">the typical lifecycle of information systems, as well as IT governance and management frameworks. </w:t>
      </w:r>
      <w:r>
        <w:t>S</w:t>
      </w:r>
      <w:r w:rsidRPr="003D64AF">
        <w:t>tudents’ proficiency in research</w:t>
      </w:r>
      <w:r>
        <w:t xml:space="preserve"> will be enhanced through developing skills to </w:t>
      </w:r>
      <w:r w:rsidRPr="003D64AF">
        <w:t xml:space="preserve">effectively analyse and critique information </w:t>
      </w:r>
      <w:r>
        <w:t xml:space="preserve">together with </w:t>
      </w:r>
      <w:r w:rsidRPr="003D64AF">
        <w:t>their skills in academic writing.</w:t>
      </w:r>
    </w:p>
    <w:p w14:paraId="2C477CA3" w14:textId="77777777" w:rsidR="003C364E" w:rsidRDefault="003C364E" w:rsidP="00DF649D"/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44F50C84">
        <w:trPr>
          <w:trHeight w:val="20"/>
        </w:trPr>
        <w:tc>
          <w:tcPr>
            <w:tcW w:w="2430" w:type="dxa"/>
          </w:tcPr>
          <w:p w14:paraId="113220EA" w14:textId="3F664298" w:rsidR="00DF649D" w:rsidRPr="008D3A3F" w:rsidRDefault="00DF649D" w:rsidP="19873EE1">
            <w:pPr>
              <w:rPr>
                <w:b/>
                <w:bCs/>
                <w:color w:val="1F3864" w:themeColor="accent1" w:themeShade="80"/>
              </w:rPr>
            </w:pPr>
            <w:r w:rsidRPr="44F50C84">
              <w:rPr>
                <w:b/>
                <w:bCs/>
                <w:color w:val="1F3864" w:themeColor="accent1" w:themeShade="80"/>
              </w:rPr>
              <w:t>Course(s)</w:t>
            </w:r>
          </w:p>
        </w:tc>
        <w:tc>
          <w:tcPr>
            <w:tcW w:w="6075" w:type="dxa"/>
          </w:tcPr>
          <w:p w14:paraId="0163A6FD" w14:textId="608DD012" w:rsidR="65598711" w:rsidRDefault="65598711" w:rsidP="65598711">
            <w:pPr>
              <w:rPr>
                <w:color w:val="000000" w:themeColor="text1"/>
              </w:rPr>
            </w:pPr>
            <w:r w:rsidRPr="65598711">
              <w:rPr>
                <w:color w:val="000000" w:themeColor="text1"/>
              </w:rPr>
              <w:t>Graduate Certificate in Information Technology</w:t>
            </w:r>
          </w:p>
          <w:p w14:paraId="38257E35" w14:textId="10D8F6E4" w:rsidR="00D127FA" w:rsidRPr="003D64AF" w:rsidRDefault="00D127FA" w:rsidP="00996BF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Master of Information Technology</w:t>
            </w:r>
          </w:p>
        </w:tc>
      </w:tr>
      <w:tr w:rsidR="00DF649D" w:rsidRPr="008D3A3F" w14:paraId="40E4A1D3" w14:textId="77777777" w:rsidTr="44F50C84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44F50C84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03F0EA01" w:rsidR="00DF649D" w:rsidRPr="003D64AF" w:rsidRDefault="003C364E" w:rsidP="5C9655F9">
            <w:pPr>
              <w:rPr>
                <w:color w:val="000000" w:themeColor="text1"/>
              </w:rPr>
            </w:pPr>
            <w:r w:rsidRPr="5C9655F9">
              <w:rPr>
                <w:color w:val="000000" w:themeColor="text1"/>
              </w:rPr>
              <w:t>12 weeks (10 teaching weeks; 1 revision week; 1 final assessment week)</w:t>
            </w:r>
          </w:p>
        </w:tc>
      </w:tr>
      <w:tr w:rsidR="005963EA" w:rsidRPr="008D3A3F" w14:paraId="17E46008" w14:textId="77777777" w:rsidTr="44F50C84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77777777" w:rsidR="00D127FA" w:rsidRPr="003D64AF" w:rsidRDefault="005963E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Postgraduate</w:t>
            </w:r>
          </w:p>
          <w:p w14:paraId="319ABA28" w14:textId="23431F6A" w:rsidR="005963EA" w:rsidRPr="003D64AF" w:rsidRDefault="00D127F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Foundational</w:t>
            </w:r>
          </w:p>
        </w:tc>
      </w:tr>
      <w:tr w:rsidR="00DF649D" w:rsidRPr="008D3A3F" w14:paraId="30679291" w14:textId="77777777" w:rsidTr="44F50C84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2C97C9A9" w:rsidR="00DF649D" w:rsidRPr="003D64AF" w:rsidRDefault="008F13F1" w:rsidP="59E17BFE">
            <w:pPr>
              <w:rPr>
                <w:color w:val="000000" w:themeColor="text1"/>
              </w:rPr>
            </w:pPr>
            <w:r w:rsidRPr="629C6FAF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44F50C84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76181EFF" w:rsidR="00DF649D" w:rsidRPr="003D64AF" w:rsidRDefault="00CA1DD7" w:rsidP="008F13F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Online</w:t>
            </w:r>
          </w:p>
        </w:tc>
      </w:tr>
      <w:tr w:rsidR="00DF649D" w:rsidRPr="008D3A3F" w14:paraId="4FC0FD2C" w14:textId="77777777" w:rsidTr="44F50C84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23751242" w:rsidR="00DF649D" w:rsidRPr="003D64AF" w:rsidRDefault="00957185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None</w:t>
            </w:r>
          </w:p>
        </w:tc>
      </w:tr>
      <w:tr w:rsidR="00DF649D" w:rsidRPr="0032519A" w14:paraId="79057618" w14:textId="77777777" w:rsidTr="44F50C84">
        <w:trPr>
          <w:trHeight w:val="20"/>
        </w:trPr>
        <w:tc>
          <w:tcPr>
            <w:tcW w:w="2430" w:type="dxa"/>
          </w:tcPr>
          <w:p w14:paraId="39BD6DA2" w14:textId="77777777" w:rsidR="00DF649D" w:rsidRPr="0032519A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</w:tcPr>
          <w:p w14:paraId="3323A1DD" w14:textId="472B02A8" w:rsidR="00DF649D" w:rsidRPr="00EC18C9" w:rsidRDefault="008C3387" w:rsidP="469DBB82">
            <w:pPr>
              <w:tabs>
                <w:tab w:val="left" w:pos="462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color w:val="000000"/>
              </w:rPr>
              <w:t xml:space="preserve">As per current </w:t>
            </w:r>
            <w:hyperlink r:id="rId10" w:tgtFrame="_blank" w:history="1">
              <w:r>
                <w:rPr>
                  <w:rStyle w:val="normaltextrun"/>
                  <w:color w:val="0000FF"/>
                  <w:u w:val="single"/>
                </w:rPr>
                <w:t>timetable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DF649D" w:rsidRPr="008D3A3F" w14:paraId="55B0595B" w14:textId="77777777" w:rsidTr="44F50C84">
        <w:trPr>
          <w:trHeight w:val="20"/>
        </w:trPr>
        <w:tc>
          <w:tcPr>
            <w:tcW w:w="2430" w:type="dxa"/>
          </w:tcPr>
          <w:p w14:paraId="61907C9D" w14:textId="77777777" w:rsidR="00DF649D" w:rsidRPr="00117B35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</w:tcPr>
          <w:p w14:paraId="185A27AA" w14:textId="72DD6C4E" w:rsidR="00DF649D" w:rsidRPr="00EC18C9" w:rsidRDefault="47BC2CB9" w:rsidP="5E87B5F7">
            <w:r w:rsidRPr="469DBB82">
              <w:t xml:space="preserve">Consultation: </w:t>
            </w:r>
            <w:r w:rsidR="00D506B5" w:rsidRPr="00C04243">
              <w:t>1 hour scheduled session</w:t>
            </w:r>
          </w:p>
        </w:tc>
      </w:tr>
    </w:tbl>
    <w:p w14:paraId="5D6CCF7B" w14:textId="1B78D5CF" w:rsidR="00DF649D" w:rsidRDefault="00DF649D" w:rsidP="00DF649D"/>
    <w:p w14:paraId="319EF89F" w14:textId="77777777" w:rsidR="003C364E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9002B4" w:rsidRPr="003C364E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3AB4B052" w:rsidR="004B0EF1" w:rsidRPr="003C364E" w:rsidRDefault="009002B4" w:rsidP="009002B4">
      <w:pPr>
        <w:spacing w:after="0" w:line="240" w:lineRule="auto"/>
      </w:pPr>
      <w:r w:rsidRPr="003C364E">
        <w:t xml:space="preserve"> </w:t>
      </w:r>
    </w:p>
    <w:p w14:paraId="0DCFD518" w14:textId="77777777" w:rsidR="004B0EF1" w:rsidRPr="00E21FEF" w:rsidRDefault="004B0EF1" w:rsidP="004B0EF1">
      <w:pPr>
        <w:spacing w:after="0" w:line="240" w:lineRule="auto"/>
        <w:contextualSpacing/>
        <w:rPr>
          <w:rFonts w:eastAsia="Times New Roman" w:cstheme="minorHAnsi"/>
          <w:szCs w:val="20"/>
        </w:rPr>
      </w:pPr>
      <w:r w:rsidRPr="00E21FEF">
        <w:rPr>
          <w:rFonts w:eastAsia="Times New Roman" w:cstheme="minorHAnsi"/>
          <w:szCs w:val="20"/>
        </w:rPr>
        <w:t>On successful completion of this unit, students will be able to:</w:t>
      </w:r>
    </w:p>
    <w:p w14:paraId="74D5B06B" w14:textId="77777777" w:rsidR="00957185" w:rsidRDefault="00957185" w:rsidP="00957185">
      <w:pPr>
        <w:rPr>
          <w:sz w:val="16"/>
          <w:szCs w:val="16"/>
        </w:rPr>
      </w:pPr>
    </w:p>
    <w:p w14:paraId="4C674FB9" w14:textId="40DD1B59" w:rsidR="00957185" w:rsidRPr="00957185" w:rsidRDefault="00BB5C96" w:rsidP="004C5044">
      <w:pPr>
        <w:ind w:left="1134" w:hanging="850"/>
      </w:pPr>
      <w:r>
        <w:t>ULO1</w:t>
      </w:r>
      <w:r w:rsidR="00957185" w:rsidRPr="00957185">
        <w:t xml:space="preserve"> </w:t>
      </w:r>
      <w:r>
        <w:tab/>
      </w:r>
      <w:r w:rsidR="00957185" w:rsidRPr="00957185">
        <w:t>Critically analyse information systems benefits, issues and impacts.</w:t>
      </w:r>
    </w:p>
    <w:p w14:paraId="3535C7B1" w14:textId="7D6EEBD6" w:rsidR="00957185" w:rsidRPr="00957185" w:rsidRDefault="00957185" w:rsidP="004C5044">
      <w:pPr>
        <w:ind w:left="1134" w:hanging="850"/>
      </w:pPr>
      <w:r w:rsidRPr="00957185">
        <w:t>ULO2</w:t>
      </w:r>
      <w:r w:rsidR="00BB5C96">
        <w:tab/>
      </w:r>
      <w:r w:rsidRPr="00957185">
        <w:t>Evaluate different types of enterprise information systems in terms of their components, architecture, application, benefits, and limitations.</w:t>
      </w:r>
    </w:p>
    <w:p w14:paraId="6B3AA392" w14:textId="235A6E06" w:rsidR="00957185" w:rsidRPr="00957185" w:rsidRDefault="00BB5C96" w:rsidP="004C5044">
      <w:pPr>
        <w:ind w:left="1134" w:hanging="850"/>
      </w:pPr>
      <w:r>
        <w:t>ULO3</w:t>
      </w:r>
      <w:r w:rsidR="00957185" w:rsidRPr="00957185">
        <w:t xml:space="preserve"> </w:t>
      </w:r>
      <w:r>
        <w:tab/>
      </w:r>
      <w:r w:rsidR="00957185" w:rsidRPr="00957185">
        <w:t xml:space="preserve">Discuss the typical lifecycle of an information system. </w:t>
      </w:r>
    </w:p>
    <w:p w14:paraId="3952B942" w14:textId="5F3BAAA1" w:rsidR="00957185" w:rsidRPr="00957185" w:rsidRDefault="00BB5C96" w:rsidP="004C5044">
      <w:pPr>
        <w:ind w:left="1134" w:hanging="850"/>
      </w:pPr>
      <w:r>
        <w:t>ULO4</w:t>
      </w:r>
      <w:r w:rsidR="00957185" w:rsidRPr="00957185">
        <w:t xml:space="preserve"> </w:t>
      </w:r>
      <w:r>
        <w:tab/>
      </w:r>
      <w:r w:rsidR="00957185" w:rsidRPr="00957185">
        <w:t>Compare and contrast the role of IT service management frameworks and policies.</w:t>
      </w:r>
    </w:p>
    <w:p w14:paraId="6D66F4B5" w14:textId="0F0DC326" w:rsidR="00957185" w:rsidRDefault="00BB5C96" w:rsidP="004C5044">
      <w:pPr>
        <w:ind w:left="1134" w:hanging="850"/>
        <w:rPr>
          <w:sz w:val="16"/>
          <w:szCs w:val="16"/>
        </w:rPr>
      </w:pPr>
      <w:r>
        <w:t>ULO5</w:t>
      </w:r>
      <w:r w:rsidR="00957185" w:rsidRPr="00957185">
        <w:t xml:space="preserve"> </w:t>
      </w:r>
      <w:r>
        <w:tab/>
      </w:r>
      <w:r w:rsidR="00957185" w:rsidRPr="00957185">
        <w:t>Critically evaluate ethical and social issues of contemporary ICT.</w:t>
      </w:r>
    </w:p>
    <w:p w14:paraId="153E6FF3" w14:textId="54ED2DEB" w:rsidR="00A63332" w:rsidRDefault="00A63332" w:rsidP="00E74F0A">
      <w:pPr>
        <w:spacing w:after="0" w:line="240" w:lineRule="auto"/>
        <w:ind w:left="709" w:hanging="709"/>
        <w:contextualSpacing/>
      </w:pP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Pr="003C364E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255B12E1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r w:rsidRPr="003C364E">
        <w:rPr>
          <w:rFonts w:cstheme="minorHAnsi"/>
        </w:rPr>
        <w:t>Canvas.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242"/>
        <w:gridCol w:w="7825"/>
      </w:tblGrid>
      <w:tr w:rsidR="004D68A4" w:rsidRPr="005A58A0" w14:paraId="17BC29AA" w14:textId="77777777" w:rsidTr="5C9655F9">
        <w:trPr>
          <w:cantSplit/>
          <w:trHeight w:val="421"/>
        </w:trPr>
        <w:tc>
          <w:tcPr>
            <w:tcW w:w="1242" w:type="dxa"/>
            <w:shd w:val="clear" w:color="auto" w:fill="B4C6E7" w:themeFill="accent1" w:themeFillTint="66"/>
            <w:vAlign w:val="center"/>
          </w:tcPr>
          <w:p w14:paraId="7D951C9A" w14:textId="77777777" w:rsidR="004D68A4" w:rsidRPr="005A58A0" w:rsidRDefault="004D68A4" w:rsidP="00E21FEF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7825" w:type="dxa"/>
            <w:shd w:val="clear" w:color="auto" w:fill="B4C6E7" w:themeFill="accent1" w:themeFillTint="66"/>
            <w:vAlign w:val="center"/>
          </w:tcPr>
          <w:p w14:paraId="5C773B80" w14:textId="77777777" w:rsidR="004D68A4" w:rsidRPr="005A58A0" w:rsidRDefault="004D68A4" w:rsidP="00E21FEF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774C96" w:rsidRPr="005A58A0" w14:paraId="4AFA2B8A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8971F0C" w14:textId="381F4E01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25" w:type="dxa"/>
            <w:vAlign w:val="center"/>
          </w:tcPr>
          <w:p w14:paraId="488EE35B" w14:textId="7233AF42" w:rsidR="005B5450" w:rsidRPr="00E21FEF" w:rsidRDefault="00FD6850" w:rsidP="00420D97">
            <w:r w:rsidRPr="0004365E">
              <w:t>IT Past, Present &amp; Future: The information revolution</w:t>
            </w:r>
          </w:p>
        </w:tc>
      </w:tr>
      <w:tr w:rsidR="00774C96" w:rsidRPr="005A58A0" w14:paraId="24678A2C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A65294B" w14:textId="3D98A7D0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25" w:type="dxa"/>
            <w:vAlign w:val="center"/>
          </w:tcPr>
          <w:p w14:paraId="6853CE10" w14:textId="19A15B82" w:rsidR="00BF3BB7" w:rsidRPr="0004365E" w:rsidRDefault="00FD6850" w:rsidP="00420D97">
            <w:pPr>
              <w:ind w:left="333" w:hanging="333"/>
            </w:pPr>
            <w:r>
              <w:t>Hardware and software components of typical modern information systems (operations systems and application</w:t>
            </w:r>
            <w:r w:rsidR="0004365E">
              <w:t xml:space="preserve"> </w:t>
            </w:r>
            <w:r>
              <w:t>software) part 1</w:t>
            </w:r>
          </w:p>
        </w:tc>
      </w:tr>
      <w:tr w:rsidR="00774C96" w:rsidRPr="005A58A0" w14:paraId="5538DCB9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332C6D03" w14:textId="289CF80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25" w:type="dxa"/>
            <w:vAlign w:val="center"/>
          </w:tcPr>
          <w:p w14:paraId="33EA212E" w14:textId="6AC450D0" w:rsidR="00BF3BB7" w:rsidRPr="0004365E" w:rsidRDefault="00FD6850" w:rsidP="00420D97">
            <w:pPr>
              <w:ind w:left="367" w:hanging="333"/>
            </w:pPr>
            <w:r>
              <w:t>Hardware and software components of typical modern information systems (operations systems and application</w:t>
            </w:r>
            <w:r w:rsidR="0004365E">
              <w:t xml:space="preserve"> s</w:t>
            </w:r>
            <w:r>
              <w:t>oftware) part 2</w:t>
            </w:r>
          </w:p>
        </w:tc>
      </w:tr>
      <w:tr w:rsidR="00774C96" w:rsidRPr="005A58A0" w14:paraId="71FC58A5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01787C47" w14:textId="3E3DD894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25" w:type="dxa"/>
            <w:vAlign w:val="center"/>
          </w:tcPr>
          <w:p w14:paraId="0902DB59" w14:textId="21451497" w:rsidR="00527DB6" w:rsidRPr="00E21FEF" w:rsidRDefault="00FD6850" w:rsidP="00420D97">
            <w:pPr>
              <w:ind w:left="367" w:hanging="333"/>
              <w:divId w:val="1551499307"/>
            </w:pPr>
            <w:r w:rsidRPr="0004365E">
              <w:t>Enterprise systems and supporting IT architectures</w:t>
            </w:r>
          </w:p>
        </w:tc>
      </w:tr>
      <w:tr w:rsidR="00774C96" w:rsidRPr="005A58A0" w14:paraId="1168B281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8E1B0B8" w14:textId="5A723D8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25" w:type="dxa"/>
            <w:vAlign w:val="center"/>
          </w:tcPr>
          <w:p w14:paraId="52EFE113" w14:textId="6B976A30" w:rsidR="009951E4" w:rsidRPr="0004365E" w:rsidRDefault="00FD6850" w:rsidP="00420D97">
            <w:pPr>
              <w:ind w:left="367" w:hanging="333"/>
            </w:pPr>
            <w:r w:rsidRPr="0004365E">
              <w:t>Overview of data acquisition, storage, manipulation and conversion to information including decision support and</w:t>
            </w:r>
            <w:r w:rsidR="0004365E" w:rsidRPr="0004365E">
              <w:t xml:space="preserve"> </w:t>
            </w:r>
            <w:r w:rsidRPr="0004365E">
              <w:t>business intelligence and analytics systems.</w:t>
            </w:r>
          </w:p>
        </w:tc>
      </w:tr>
      <w:tr w:rsidR="00774C96" w:rsidRPr="005A58A0" w14:paraId="0A77A813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7CEC155E" w14:textId="34321D01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25" w:type="dxa"/>
            <w:vAlign w:val="center"/>
          </w:tcPr>
          <w:p w14:paraId="03CB1830" w14:textId="5C79A141" w:rsidR="009951E4" w:rsidRPr="00E21FEF" w:rsidRDefault="00FD6850" w:rsidP="00420D97">
            <w:pPr>
              <w:ind w:left="367" w:hanging="333"/>
            </w:pPr>
            <w:r w:rsidRPr="0004365E">
              <w:t>Management of information system and services: COBIT and the ITIL set of practices</w:t>
            </w:r>
          </w:p>
        </w:tc>
      </w:tr>
      <w:tr w:rsidR="00774C96" w:rsidRPr="005A58A0" w14:paraId="61B2ED06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4C66773" w14:textId="763413BD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25" w:type="dxa"/>
            <w:vAlign w:val="center"/>
          </w:tcPr>
          <w:p w14:paraId="19B53C1D" w14:textId="6B39BE44" w:rsidR="009951E4" w:rsidRPr="00E21FEF" w:rsidRDefault="00FD6850" w:rsidP="00420D97">
            <w:pPr>
              <w:ind w:left="367" w:hanging="333"/>
            </w:pPr>
            <w:r w:rsidRPr="0004365E">
              <w:t>Working in teams and effective communication</w:t>
            </w:r>
          </w:p>
        </w:tc>
      </w:tr>
      <w:tr w:rsidR="00774C96" w:rsidRPr="005A58A0" w14:paraId="5FBE86C2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202E8ADF" w14:textId="075E0669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25" w:type="dxa"/>
            <w:vAlign w:val="center"/>
          </w:tcPr>
          <w:p w14:paraId="6C6FCE2C" w14:textId="7A25E57B" w:rsidR="00774C96" w:rsidRPr="0004365E" w:rsidRDefault="00FD6850" w:rsidP="00420D97">
            <w:pPr>
              <w:ind w:left="367" w:hanging="333"/>
            </w:pPr>
            <w:r w:rsidRPr="0004365E">
              <w:t>Social and legal issues in ICT: overview of security and privacy, malware, cybercrime, social engineering attacks, and the</w:t>
            </w:r>
            <w:r w:rsidR="0004365E" w:rsidRPr="0004365E">
              <w:t xml:space="preserve"> </w:t>
            </w:r>
            <w:r w:rsidRPr="0004365E">
              <w:t>dark web</w:t>
            </w:r>
          </w:p>
        </w:tc>
      </w:tr>
      <w:tr w:rsidR="00774C96" w:rsidRPr="005A58A0" w14:paraId="656C9137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107521BA" w14:textId="5A700BB7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25" w:type="dxa"/>
            <w:vAlign w:val="center"/>
          </w:tcPr>
          <w:p w14:paraId="4B16F4F1" w14:textId="5D8AD476" w:rsidR="005A58A0" w:rsidRPr="0004365E" w:rsidRDefault="00FD6850" w:rsidP="00420D97">
            <w:pPr>
              <w:ind w:left="367" w:hanging="333"/>
              <w:divId w:val="1548836109"/>
            </w:pPr>
            <w:r w:rsidRPr="0004365E">
              <w:t>IT Ethics and Professional expectations</w:t>
            </w:r>
          </w:p>
        </w:tc>
      </w:tr>
      <w:tr w:rsidR="00774C96" w:rsidRPr="005A58A0" w14:paraId="174E1FB0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0F02B601" w14:textId="418A0F35" w:rsidR="00774C96" w:rsidRPr="005A58A0" w:rsidRDefault="00774C96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7825" w:type="dxa"/>
            <w:vAlign w:val="center"/>
          </w:tcPr>
          <w:p w14:paraId="695EF25B" w14:textId="0A126BBF" w:rsidR="005A58A0" w:rsidRPr="00E21FEF" w:rsidRDefault="00FD6850" w:rsidP="00420D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21FEF">
              <w:rPr>
                <w:rFonts w:asciiTheme="minorHAnsi" w:hAnsiTheme="minorHAnsi"/>
                <w:sz w:val="22"/>
                <w:szCs w:val="22"/>
              </w:rPr>
              <w:t>Preparing for a career in IT – Planning ahead and industry needs. Professional bodies and networks</w:t>
            </w:r>
          </w:p>
        </w:tc>
      </w:tr>
      <w:tr w:rsidR="005D4EEC" w:rsidRPr="005A58A0" w14:paraId="1ACD4A4D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5960C255" w14:textId="68762CA2" w:rsidR="005D4EEC" w:rsidRPr="005A58A0" w:rsidRDefault="005D4EEC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7825" w:type="dxa"/>
            <w:vAlign w:val="center"/>
          </w:tcPr>
          <w:p w14:paraId="700C16A2" w14:textId="45E688EC" w:rsidR="005D4EEC" w:rsidRPr="0004365E" w:rsidRDefault="0803193C" w:rsidP="00420D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339B417">
              <w:rPr>
                <w:rFonts w:asciiTheme="minorHAnsi" w:hAnsiTheme="minorHAnsi" w:cstheme="minorBidi"/>
                <w:sz w:val="22"/>
                <w:szCs w:val="22"/>
              </w:rPr>
              <w:t>Revision</w:t>
            </w:r>
          </w:p>
        </w:tc>
      </w:tr>
      <w:tr w:rsidR="00FD6850" w:rsidRPr="005A58A0" w14:paraId="5F7DF0C9" w14:textId="77777777" w:rsidTr="5C9655F9">
        <w:trPr>
          <w:cantSplit/>
          <w:trHeight w:val="567"/>
        </w:trPr>
        <w:tc>
          <w:tcPr>
            <w:tcW w:w="1242" w:type="dxa"/>
            <w:vAlign w:val="center"/>
          </w:tcPr>
          <w:p w14:paraId="44702181" w14:textId="666C1BF6" w:rsidR="00FD6850" w:rsidRDefault="00FD6850" w:rsidP="00E21FE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E21FE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25" w:type="dxa"/>
            <w:vAlign w:val="center"/>
          </w:tcPr>
          <w:p w14:paraId="1CC227CF" w14:textId="03F77174" w:rsidR="00FD6850" w:rsidRPr="0004365E" w:rsidRDefault="00FD6850" w:rsidP="00420D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365E">
              <w:rPr>
                <w:rFonts w:asciiTheme="minorHAnsi" w:hAnsiTheme="minorHAnsi" w:cstheme="minorHAnsi"/>
                <w:sz w:val="22"/>
                <w:szCs w:val="22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7633284A" w14:textId="77777777" w:rsidR="009A2660" w:rsidRDefault="009A2660" w:rsidP="009A2660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t>Assessments</w:t>
      </w:r>
    </w:p>
    <w:p w14:paraId="239D987E" w14:textId="77777777" w:rsidR="009A2660" w:rsidRDefault="009A2660" w:rsidP="009A2660">
      <w:pPr>
        <w:pStyle w:val="ListParagraph"/>
        <w:numPr>
          <w:ilvl w:val="0"/>
          <w:numId w:val="45"/>
        </w:numPr>
        <w:spacing w:after="120" w:line="264" w:lineRule="auto"/>
        <w:ind w:left="357" w:hanging="357"/>
        <w:rPr>
          <w:rFonts w:cstheme="minorHAnsi"/>
        </w:rPr>
      </w:pPr>
      <w:r>
        <w:rPr>
          <w:rFonts w:cstheme="minorHAnsi"/>
        </w:rPr>
        <w:t xml:space="preserve">All </w:t>
      </w:r>
      <w:r>
        <w:rPr>
          <w:rFonts w:cstheme="minorHAnsi"/>
          <w:color w:val="000000" w:themeColor="text1"/>
        </w:rPr>
        <w:t>assessments</w:t>
      </w:r>
      <w:r>
        <w:rPr>
          <w:rFonts w:cstheme="minorHAnsi"/>
        </w:rPr>
        <w:t xml:space="preserve"> are compulsory.</w:t>
      </w:r>
    </w:p>
    <w:p w14:paraId="6FEFEC1E" w14:textId="77777777" w:rsidR="009A2660" w:rsidRDefault="009A2660" w:rsidP="009A2660">
      <w:pPr>
        <w:pStyle w:val="ListParagraph"/>
        <w:numPr>
          <w:ilvl w:val="0"/>
          <w:numId w:val="45"/>
        </w:numPr>
        <w:spacing w:after="120" w:line="264" w:lineRule="auto"/>
        <w:ind w:left="363"/>
        <w:rPr>
          <w:rFonts w:cstheme="minorHAnsi"/>
        </w:rPr>
      </w:pPr>
      <w:r>
        <w:rPr>
          <w:rFonts w:cstheme="minorHAnsi"/>
        </w:rPr>
        <w:t xml:space="preserve">To pass </w:t>
      </w:r>
      <w:r>
        <w:rPr>
          <w:rFonts w:cstheme="minorHAnsi"/>
          <w:color w:val="000000" w:themeColor="text1"/>
        </w:rPr>
        <w:t>the</w:t>
      </w:r>
      <w:r>
        <w:rPr>
          <w:rFonts w:cstheme="minorHAnsi"/>
        </w:rPr>
        <w:t xml:space="preserve"> unit students must:</w:t>
      </w:r>
    </w:p>
    <w:p w14:paraId="62422CA3" w14:textId="77777777" w:rsidR="009A2660" w:rsidRDefault="009A2660" w:rsidP="009A2660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>
        <w:rPr>
          <w:rFonts w:cstheme="minorHAnsi"/>
        </w:rPr>
        <w:t>achieve a total of 50% or more of marks offered; and</w:t>
      </w:r>
    </w:p>
    <w:p w14:paraId="1FB75F3B" w14:textId="77777777" w:rsidR="009A2660" w:rsidRDefault="009A2660" w:rsidP="009A2660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>
        <w:rPr>
          <w:rFonts w:cstheme="minorHAnsi"/>
        </w:rPr>
        <w:t>pass all individual invigilated assessments; and</w:t>
      </w:r>
    </w:p>
    <w:p w14:paraId="58CD1121" w14:textId="77777777" w:rsidR="009A2660" w:rsidRDefault="009A2660" w:rsidP="009A2660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>
        <w:rPr>
          <w:rFonts w:cstheme="minorHAnsi"/>
        </w:rPr>
        <w:t>have attempted all assessments.</w:t>
      </w:r>
    </w:p>
    <w:p w14:paraId="4E170FC1" w14:textId="77777777" w:rsidR="009A2660" w:rsidRDefault="009A2660" w:rsidP="009A2660">
      <w:pPr>
        <w:spacing w:after="120" w:line="264" w:lineRule="auto"/>
        <w:ind w:left="363"/>
        <w:rPr>
          <w:rFonts w:cstheme="minorHAnsi"/>
          <w:color w:val="000000" w:themeColor="text1"/>
        </w:rPr>
      </w:pPr>
      <w:r>
        <w:rPr>
          <w:rFonts w:cstheme="minorHAnsi"/>
        </w:rPr>
        <w:t>Where one or more of these requirements are not met, the Board of Examiners will consider a student’s overall progress</w:t>
      </w:r>
      <w:r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65C4471D" w14:textId="77777777" w:rsidR="009A2660" w:rsidRDefault="009A2660" w:rsidP="009A2660">
      <w:pPr>
        <w:pStyle w:val="ListParagraph"/>
        <w:numPr>
          <w:ilvl w:val="0"/>
          <w:numId w:val="45"/>
        </w:numPr>
        <w:spacing w:after="120" w:line="264" w:lineRule="auto"/>
        <w:ind w:left="363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Board of Examiners may grant a supplementary assessment where a student:</w:t>
      </w:r>
    </w:p>
    <w:p w14:paraId="35E901DF" w14:textId="77777777" w:rsidR="009A2660" w:rsidRDefault="009A2660" w:rsidP="009A2660">
      <w:pPr>
        <w:pStyle w:val="ListParagraph"/>
        <w:numPr>
          <w:ilvl w:val="0"/>
          <w:numId w:val="47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achieves a total of 45% or more; and</w:t>
      </w:r>
    </w:p>
    <w:p w14:paraId="46F995CA" w14:textId="77777777" w:rsidR="009A2660" w:rsidRDefault="009A2660" w:rsidP="009A2660">
      <w:pPr>
        <w:pStyle w:val="ListParagraph"/>
        <w:numPr>
          <w:ilvl w:val="0"/>
          <w:numId w:val="47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has passed all individual invigilated assessments in the unit; and</w:t>
      </w:r>
    </w:p>
    <w:p w14:paraId="6FF42EB0" w14:textId="77777777" w:rsidR="009A2660" w:rsidRDefault="009A2660" w:rsidP="009A2660">
      <w:pPr>
        <w:pStyle w:val="ListParagraph"/>
        <w:numPr>
          <w:ilvl w:val="0"/>
          <w:numId w:val="47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has attempted all assessments; and</w:t>
      </w:r>
    </w:p>
    <w:p w14:paraId="05AFFAA5" w14:textId="77777777" w:rsidR="009A2660" w:rsidRDefault="009A2660" w:rsidP="009A2660">
      <w:pPr>
        <w:pStyle w:val="ListParagraph"/>
        <w:numPr>
          <w:ilvl w:val="0"/>
          <w:numId w:val="47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has a recommendation for supplementary assessment by the Unit Coordinator and the Head of Discipline.</w:t>
      </w:r>
    </w:p>
    <w:p w14:paraId="4B2F4436" w14:textId="77777777" w:rsidR="009A2660" w:rsidRDefault="009A2660" w:rsidP="009A2660">
      <w:pPr>
        <w:spacing w:after="120" w:line="264" w:lineRule="auto"/>
        <w:ind w:left="352"/>
        <w:rPr>
          <w:rFonts w:cstheme="minorHAnsi"/>
          <w:color w:val="000000" w:themeColor="text1"/>
        </w:rPr>
      </w:pPr>
      <w:r>
        <w:rPr>
          <w:rFonts w:cstheme="minorHAnsi"/>
        </w:rPr>
        <w:lastRenderedPageBreak/>
        <w:t>Where one or more of these requirements are not met, the Board of Examiners will consider a student’s overall progress</w:t>
      </w:r>
      <w:r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6F58B543" w14:textId="77777777" w:rsidR="009A2660" w:rsidRDefault="009A2660" w:rsidP="009A2660">
      <w:pPr>
        <w:pStyle w:val="ListParagraph"/>
        <w:numPr>
          <w:ilvl w:val="0"/>
          <w:numId w:val="45"/>
        </w:numPr>
        <w:spacing w:after="120" w:line="264" w:lineRule="auto"/>
        <w:ind w:left="357" w:hanging="357"/>
        <w:rPr>
          <w:rStyle w:val="Hyperlink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APIC awards common </w:t>
      </w:r>
      <w:r>
        <w:rPr>
          <w:rFonts w:cstheme="minorHAnsi"/>
        </w:rPr>
        <w:t>result grades as set out in the </w:t>
      </w:r>
      <w:hyperlink r:id="rId11" w:history="1">
        <w:r>
          <w:rPr>
            <w:rStyle w:val="Hyperlink"/>
            <w:rFonts w:cstheme="minorHAnsi"/>
          </w:rPr>
          <w:t>Award of Grade Policy.</w:t>
        </w:r>
      </w:hyperlink>
    </w:p>
    <w:p w14:paraId="392ECFE4" w14:textId="77777777" w:rsidR="009A2660" w:rsidRDefault="009A2660" w:rsidP="009A2660">
      <w:pPr>
        <w:pStyle w:val="ListParagraph"/>
        <w:numPr>
          <w:ilvl w:val="0"/>
          <w:numId w:val="45"/>
        </w:numPr>
        <w:spacing w:after="120" w:line="264" w:lineRule="auto"/>
        <w:ind w:left="357" w:hanging="357"/>
      </w:pPr>
      <w:r>
        <w:t>Detailed information for each assessment can be found on the Unit’s Home Page and in the Assessment Brief.</w:t>
      </w:r>
    </w:p>
    <w:p w14:paraId="43D7D52C" w14:textId="6D9BF467" w:rsidR="00162C20" w:rsidRDefault="00964577" w:rsidP="00162C20">
      <w:pPr>
        <w:spacing w:after="0" w:line="240" w:lineRule="auto"/>
        <w:contextualSpacing/>
        <w:rPr>
          <w:sz w:val="24"/>
          <w:szCs w:val="24"/>
        </w:rPr>
      </w:pPr>
      <w:r w:rsidRPr="00964577">
        <w:rPr>
          <w:sz w:val="24"/>
          <w:szCs w:val="24"/>
        </w:rPr>
        <w:t xml:space="preserve"> </w:t>
      </w:r>
    </w:p>
    <w:tbl>
      <w:tblPr>
        <w:tblStyle w:val="TableGrid1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992"/>
        <w:gridCol w:w="1134"/>
        <w:gridCol w:w="1276"/>
        <w:gridCol w:w="851"/>
      </w:tblGrid>
      <w:tr w:rsidR="008B6BCA" w:rsidRPr="00FC2E8F" w14:paraId="1855B7EE" w14:textId="77777777" w:rsidTr="00602CB9">
        <w:trPr>
          <w:cantSplit/>
          <w:trHeight w:val="419"/>
        </w:trPr>
        <w:tc>
          <w:tcPr>
            <w:tcW w:w="3652" w:type="dxa"/>
            <w:shd w:val="clear" w:color="auto" w:fill="B4C6E7" w:themeFill="accent1" w:themeFillTint="66"/>
          </w:tcPr>
          <w:p w14:paraId="5D74F162" w14:textId="77777777" w:rsidR="008B6BCA" w:rsidRPr="00FC2E8F" w:rsidRDefault="008B6BCA" w:rsidP="00602CB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Assessment Task</w:t>
            </w:r>
          </w:p>
          <w:p w14:paraId="6A5D2D11" w14:textId="77777777" w:rsidR="008B6BCA" w:rsidRPr="00FC2E8F" w:rsidRDefault="008B6BCA" w:rsidP="00602CB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1396D7AB" w14:textId="77777777" w:rsidR="008B6BCA" w:rsidRPr="00FC2E8F" w:rsidRDefault="008B6BCA" w:rsidP="00602CB9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CDC8394" w14:textId="77777777" w:rsidR="008B6BCA" w:rsidRPr="00FC2E8F" w:rsidRDefault="008B6BCA" w:rsidP="00602CB9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C2E8F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2B0910B" w14:textId="77777777" w:rsidR="008B6BCA" w:rsidRPr="00FC2E8F" w:rsidRDefault="008B6BCA" w:rsidP="00602CB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Due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AB92963" w14:textId="77777777" w:rsidR="008B6BCA" w:rsidRPr="00FC2E8F" w:rsidRDefault="008B6BCA" w:rsidP="00602CB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0C75A55E" w14:textId="77777777" w:rsidR="008B6BCA" w:rsidRPr="00FC2E8F" w:rsidRDefault="008B6BCA" w:rsidP="00602CB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ULOs</w:t>
            </w:r>
          </w:p>
        </w:tc>
      </w:tr>
      <w:tr w:rsidR="008B6BCA" w:rsidRPr="00E87DEF" w14:paraId="3D0487B4" w14:textId="77777777" w:rsidTr="00602CB9">
        <w:trPr>
          <w:cantSplit/>
          <w:trHeight w:val="686"/>
        </w:trPr>
        <w:tc>
          <w:tcPr>
            <w:tcW w:w="3652" w:type="dxa"/>
          </w:tcPr>
          <w:p w14:paraId="2B7DE274" w14:textId="77777777" w:rsidR="008B6BCA" w:rsidRDefault="008B6BCA" w:rsidP="00602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652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1: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Weekly Workshop</w:t>
            </w:r>
            <w:r w:rsidRPr="00D37AB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Activity</w:t>
            </w:r>
          </w:p>
          <w:p w14:paraId="17655070" w14:textId="04E78EA6" w:rsidR="008B6BCA" w:rsidRPr="00E87DEF" w:rsidRDefault="008B6BCA" w:rsidP="00602CB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A58A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Students will complete 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in-class</w:t>
            </w:r>
            <w:r w:rsidRPr="00BA58A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workshop assessments including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 xml:space="preserve">, </w:t>
            </w:r>
            <w:r w:rsidRPr="00BA58A1">
              <w:rPr>
                <w:rStyle w:val="normaltextrun"/>
                <w:rFonts w:ascii="Calibri" w:hAnsi="Calibri" w:cs="Calibri"/>
                <w:color w:val="000000" w:themeColor="text1"/>
              </w:rPr>
              <w:t>situation analys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e</w:t>
            </w:r>
            <w:r w:rsidRPr="00BA58A1">
              <w:rPr>
                <w:rStyle w:val="normaltextrun"/>
                <w:rFonts w:ascii="Calibri" w:hAnsi="Calibri" w:cs="Calibri"/>
                <w:color w:val="000000" w:themeColor="text1"/>
              </w:rPr>
              <w:t>s and practical application of skills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746DBD78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5B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310A8BEC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7943A4F" wp14:editId="7C8DAEAE">
                  <wp:extent cx="213360" cy="2133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A6A2CA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Invigilated</w:t>
            </w:r>
          </w:p>
          <w:p w14:paraId="24CB996D" w14:textId="1FC01938" w:rsidR="00066A1D" w:rsidRPr="00066A1D" w:rsidRDefault="00D72C31" w:rsidP="00D72C3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2733C13" wp14:editId="79D49045">
                  <wp:extent cx="250190" cy="2501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1C9C20A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21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2425D280" w14:textId="77777777" w:rsidR="008B6BCA" w:rsidRDefault="008B6BCA" w:rsidP="00602C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eek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ly except for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Weeks</w:t>
            </w:r>
          </w:p>
          <w:p w14:paraId="5A093C4F" w14:textId="77777777" w:rsidR="008B6BCA" w:rsidRDefault="008B6BCA" w:rsidP="00602CB9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2, 4, 5, 6, 7, 9, 10</w:t>
            </w:r>
          </w:p>
          <w:p w14:paraId="2F5B8B4D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BD253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 minutes each</w:t>
            </w:r>
          </w:p>
          <w:p w14:paraId="08C0B3B1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3BA323D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(equiv.</w:t>
            </w:r>
          </w:p>
          <w:p w14:paraId="79263D0D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2700</w:t>
            </w:r>
          </w:p>
          <w:p w14:paraId="4B011555" w14:textId="77777777" w:rsidR="008B6BCA" w:rsidRPr="00D62E35" w:rsidRDefault="008B6BCA" w:rsidP="00602CB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39C303B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19F2EC73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1765C747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369ABDEB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6974B304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ULO5</w:t>
            </w:r>
          </w:p>
        </w:tc>
      </w:tr>
      <w:tr w:rsidR="008B6BCA" w:rsidRPr="00E87DEF" w14:paraId="6F41892E" w14:textId="77777777" w:rsidTr="00602CB9">
        <w:trPr>
          <w:cantSplit/>
          <w:trHeight w:val="686"/>
        </w:trPr>
        <w:tc>
          <w:tcPr>
            <w:tcW w:w="3652" w:type="dxa"/>
          </w:tcPr>
          <w:p w14:paraId="71D6E9C4" w14:textId="77777777" w:rsidR="008B6BCA" w:rsidRPr="005307FF" w:rsidRDefault="008B6BCA" w:rsidP="00602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7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Assessment 2:  Quiz</w:t>
            </w:r>
          </w:p>
          <w:p w14:paraId="5CD2FB30" w14:textId="77777777" w:rsidR="008B6BCA" w:rsidRPr="005307FF" w:rsidRDefault="008B6BCA" w:rsidP="00602CB9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174AA6">
              <w:rPr>
                <w:rStyle w:val="normaltextrun"/>
                <w:color w:val="000000" w:themeColor="text1"/>
              </w:rPr>
              <w:t xml:space="preserve">n-class quizzes </w:t>
            </w:r>
            <w:r w:rsidRPr="005307FF">
              <w:rPr>
                <w:rStyle w:val="normaltextrun"/>
                <w:color w:val="000000" w:themeColor="text1"/>
              </w:rPr>
              <w:t xml:space="preserve">assess students’ ability to understand theoretical materials. The quiz will be </w:t>
            </w:r>
            <w:r>
              <w:rPr>
                <w:rStyle w:val="normaltextrun"/>
                <w:color w:val="000000" w:themeColor="text1"/>
              </w:rPr>
              <w:t>multiple-choice</w:t>
            </w:r>
            <w:r w:rsidRPr="005307FF">
              <w:rPr>
                <w:rStyle w:val="normaltextrun"/>
                <w:color w:val="000000" w:themeColor="text1"/>
              </w:rPr>
              <w:t xml:space="preserve"> questions </w:t>
            </w:r>
            <w:r>
              <w:rPr>
                <w:rStyle w:val="normaltextrun"/>
                <w:color w:val="000000" w:themeColor="text1"/>
              </w:rPr>
              <w:t>that</w:t>
            </w:r>
            <w:r w:rsidRPr="005307FF">
              <w:rPr>
                <w:rStyle w:val="normaltextrun"/>
                <w:color w:val="000000" w:themeColor="text1"/>
              </w:rPr>
              <w:t xml:space="preserve"> are relevant to the lecture materials.</w:t>
            </w:r>
          </w:p>
        </w:tc>
        <w:tc>
          <w:tcPr>
            <w:tcW w:w="1134" w:type="dxa"/>
          </w:tcPr>
          <w:p w14:paraId="7C807481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C665B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67027C83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2CEB426" wp14:editId="2EE1FFC1">
                  <wp:extent cx="213360" cy="2133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6F8CF9" w14:textId="77777777" w:rsidR="00D72C31" w:rsidRDefault="00D72C31" w:rsidP="00D72C3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Invigilated</w:t>
            </w:r>
          </w:p>
          <w:p w14:paraId="5786E9FA" w14:textId="03800F11" w:rsidR="008B6BCA" w:rsidRPr="00E22A35" w:rsidRDefault="00D72C31" w:rsidP="00D72C31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F1D62CF" wp14:editId="156474EC">
                  <wp:extent cx="250190" cy="2501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DCB08B0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9%</w:t>
            </w:r>
          </w:p>
        </w:tc>
        <w:tc>
          <w:tcPr>
            <w:tcW w:w="1134" w:type="dxa"/>
          </w:tcPr>
          <w:p w14:paraId="21194538" w14:textId="77777777" w:rsidR="008B6BCA" w:rsidRDefault="008B6BCA" w:rsidP="00602CB9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Week 3 and week 8</w:t>
            </w:r>
          </w:p>
          <w:p w14:paraId="618143CB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2A368" w14:textId="77777777" w:rsidR="008B6BCA" w:rsidRDefault="008B6BCA" w:rsidP="00602C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20 minutes each (equiv.</w:t>
            </w:r>
          </w:p>
          <w:p w14:paraId="61138C65" w14:textId="77777777" w:rsidR="008B6BCA" w:rsidRDefault="008B6BCA" w:rsidP="00602C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  <w:p w14:paraId="45FDE0B3" w14:textId="77777777" w:rsidR="008B6BCA" w:rsidRDefault="008B6BCA" w:rsidP="00602C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words)</w:t>
            </w:r>
          </w:p>
          <w:p w14:paraId="37A1FCFB" w14:textId="77777777" w:rsidR="008B6BCA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730DBC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44E2DC5C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4E2C80F3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1C5BC7B7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08097E5E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ULO5</w:t>
            </w:r>
          </w:p>
        </w:tc>
      </w:tr>
      <w:tr w:rsidR="008B6BCA" w:rsidRPr="00E87DEF" w14:paraId="7E026FD6" w14:textId="77777777" w:rsidTr="00602CB9">
        <w:trPr>
          <w:cantSplit/>
          <w:trHeight w:val="1748"/>
        </w:trPr>
        <w:tc>
          <w:tcPr>
            <w:tcW w:w="3652" w:type="dxa"/>
          </w:tcPr>
          <w:p w14:paraId="403889EB" w14:textId="77777777" w:rsidR="008B6BCA" w:rsidRPr="00465205" w:rsidRDefault="008B6BCA" w:rsidP="00602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652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4652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: Case </w:t>
            </w:r>
            <w:r w:rsidRPr="00BD6D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Study </w:t>
            </w:r>
            <w:r w:rsidRPr="0046520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540FDEE7" w14:textId="77777777" w:rsidR="008B6BCA" w:rsidRPr="0009369E" w:rsidRDefault="008B6BCA" w:rsidP="00602C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Students will c</w:t>
            </w:r>
            <w:r w:rsidRPr="00465205">
              <w:rPr>
                <w:rFonts w:ascii="Calibri" w:hAnsi="Calibri" w:cs="Calibri"/>
                <w:color w:val="000000"/>
                <w:sz w:val="20"/>
                <w:szCs w:val="20"/>
              </w:rPr>
              <w:t>reate a report that evaluates the components, architecture, application, benefits, and potential limitations of systems that are provided within a set of different typical different enterprise information systems.</w:t>
            </w:r>
          </w:p>
        </w:tc>
        <w:tc>
          <w:tcPr>
            <w:tcW w:w="1134" w:type="dxa"/>
          </w:tcPr>
          <w:p w14:paraId="0DECF7E0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Fonts w:cstheme="minorHAnsi"/>
                <w:color w:val="000000" w:themeColor="text1"/>
                <w:sz w:val="20"/>
                <w:szCs w:val="20"/>
              </w:rPr>
              <w:t>Group</w:t>
            </w:r>
          </w:p>
          <w:p w14:paraId="7FE71849" w14:textId="17D4AB89" w:rsidR="00F04BC6" w:rsidRPr="00E22A35" w:rsidRDefault="00F04BC6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4C57765" wp14:editId="36823941">
                  <wp:extent cx="295275" cy="2000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F9B9696" w14:textId="77777777" w:rsidR="008B6BCA" w:rsidRPr="00E22A35" w:rsidRDefault="008B6BCA" w:rsidP="00602C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6EECF240" w14:textId="77777777" w:rsidR="008B6BCA" w:rsidRPr="00E22A35" w:rsidRDefault="008B6BCA" w:rsidP="00602C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3166176" w14:textId="77777777" w:rsidR="008B6BCA" w:rsidRDefault="008B6BCA" w:rsidP="00602C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1500</w:t>
            </w:r>
          </w:p>
          <w:p w14:paraId="5CA5A808" w14:textId="77777777" w:rsidR="008B6BCA" w:rsidRPr="00E22A35" w:rsidRDefault="008B6BCA" w:rsidP="00602C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</w:t>
            </w:r>
          </w:p>
        </w:tc>
        <w:tc>
          <w:tcPr>
            <w:tcW w:w="851" w:type="dxa"/>
          </w:tcPr>
          <w:p w14:paraId="5A2C35A3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6D129C48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</w:tc>
      </w:tr>
      <w:tr w:rsidR="008B6BCA" w:rsidRPr="00E87DEF" w14:paraId="69357DA1" w14:textId="77777777" w:rsidTr="00602CB9">
        <w:trPr>
          <w:cantSplit/>
          <w:trHeight w:val="827"/>
        </w:trPr>
        <w:tc>
          <w:tcPr>
            <w:tcW w:w="3652" w:type="dxa"/>
          </w:tcPr>
          <w:p w14:paraId="3E896458" w14:textId="77777777" w:rsidR="008B6BCA" w:rsidRPr="001F1CAA" w:rsidRDefault="008B6BCA" w:rsidP="00602C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1C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1F1C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 Report</w:t>
            </w:r>
          </w:p>
          <w:p w14:paraId="37DB6AB2" w14:textId="77777777" w:rsidR="008B6BCA" w:rsidRPr="0009369E" w:rsidRDefault="008B6BCA" w:rsidP="00602C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Students will critique </w:t>
            </w:r>
            <w:r w:rsidRPr="001F1C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 service management frameworks and policies.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Different frameworks should be compared, highlighting their attributes, </w:t>
            </w:r>
            <w:r w:rsidRPr="001F1CAA">
              <w:rPr>
                <w:rFonts w:ascii="Calibri" w:hAnsi="Calibri" w:cs="Calibri"/>
                <w:color w:val="000000"/>
                <w:sz w:val="20"/>
                <w:szCs w:val="20"/>
              </w:rPr>
              <w:t>applicability and limitations.</w:t>
            </w:r>
          </w:p>
        </w:tc>
        <w:tc>
          <w:tcPr>
            <w:tcW w:w="1134" w:type="dxa"/>
          </w:tcPr>
          <w:p w14:paraId="26439105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779909A0" w14:textId="36260468" w:rsidR="00F04BC6" w:rsidRPr="00E22A35" w:rsidRDefault="00F04BC6" w:rsidP="00602CB9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83DBFA" wp14:editId="3C9AE9A0">
                  <wp:extent cx="213360" cy="2133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5132C98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25</w:t>
            </w:r>
            <w:r w:rsidRPr="00E22A35">
              <w:rPr>
                <w:rStyle w:val="normaltextru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0BA2AB99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A9DC107" w14:textId="77777777" w:rsidR="008B6BCA" w:rsidRDefault="008B6BCA" w:rsidP="00602CB9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1500</w:t>
            </w:r>
          </w:p>
          <w:p w14:paraId="11032F71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color w:val="000000" w:themeColor="text1"/>
                <w:sz w:val="20"/>
                <w:szCs w:val="20"/>
              </w:rPr>
              <w:t>words</w:t>
            </w:r>
          </w:p>
        </w:tc>
        <w:tc>
          <w:tcPr>
            <w:tcW w:w="851" w:type="dxa"/>
          </w:tcPr>
          <w:p w14:paraId="423FCC4E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248DA667" w14:textId="77777777" w:rsidR="008B6BCA" w:rsidRPr="00E22A35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</w:tc>
      </w:tr>
      <w:tr w:rsidR="008B6BCA" w:rsidRPr="00E87DEF" w14:paraId="7E735A53" w14:textId="77777777" w:rsidTr="00602CB9">
        <w:trPr>
          <w:cantSplit/>
          <w:trHeight w:val="827"/>
        </w:trPr>
        <w:tc>
          <w:tcPr>
            <w:tcW w:w="3652" w:type="dxa"/>
          </w:tcPr>
          <w:p w14:paraId="44217CE1" w14:textId="77777777" w:rsidR="008B6BCA" w:rsidRDefault="008B6BCA" w:rsidP="00602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1C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Assessment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1F1C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Final Exam</w:t>
            </w:r>
          </w:p>
          <w:p w14:paraId="53C09316" w14:textId="77777777" w:rsidR="008B6BCA" w:rsidRPr="00174AA6" w:rsidRDefault="008B6BCA" w:rsidP="00602CB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58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 this assessment, students are required to answer multiple-choice, short answer and case study related questions.</w:t>
            </w:r>
          </w:p>
          <w:p w14:paraId="1DD79A8C" w14:textId="77777777" w:rsidR="008B6BCA" w:rsidRDefault="008B6BCA" w:rsidP="00602C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BE305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2A35">
              <w:rPr>
                <w:rFonts w:cstheme="minorHAnsi"/>
                <w:color w:val="000000" w:themeColor="text1"/>
                <w:sz w:val="20"/>
                <w:szCs w:val="20"/>
              </w:rPr>
              <w:t>Individual</w:t>
            </w:r>
          </w:p>
          <w:p w14:paraId="7350A162" w14:textId="0772D2B7" w:rsidR="00F04BC6" w:rsidRPr="00E22A35" w:rsidRDefault="00F04BC6" w:rsidP="00602CB9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B0A6DA1" wp14:editId="3A1C9E55">
                  <wp:extent cx="213360" cy="2133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74C131A" w14:textId="77777777" w:rsidR="008B6BCA" w:rsidRPr="00E22A35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25</w:t>
            </w:r>
            <w:r w:rsidRPr="00E22A35">
              <w:rPr>
                <w:rStyle w:val="normaltextru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C85B8DE" w14:textId="77777777" w:rsidR="008B6BCA" w:rsidRPr="00E22A35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111F031" w14:textId="77777777" w:rsidR="008B6BCA" w:rsidRDefault="008B6BCA" w:rsidP="00602CB9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2 hours</w:t>
            </w:r>
          </w:p>
          <w:p w14:paraId="583875F2" w14:textId="77777777" w:rsidR="008B6BCA" w:rsidRDefault="008B6BCA" w:rsidP="00602CB9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(equiv. 2000</w:t>
            </w:r>
          </w:p>
          <w:p w14:paraId="09119F5B" w14:textId="77777777" w:rsidR="008B6BCA" w:rsidRPr="00E22A35" w:rsidRDefault="008B6BCA" w:rsidP="00602CB9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color w:val="000000" w:themeColor="text1"/>
                <w:sz w:val="20"/>
                <w:szCs w:val="20"/>
              </w:rPr>
              <w:t>Words</w:t>
            </w:r>
            <w:r>
              <w:rPr>
                <w:rStyle w:val="normaltextru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41B22C1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2010FE89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ULO2</w:t>
            </w:r>
          </w:p>
          <w:p w14:paraId="47019EFE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  <w:p w14:paraId="243D4C38" w14:textId="77777777" w:rsidR="008B6BCA" w:rsidRDefault="008B6BCA" w:rsidP="00602CB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ULO4</w:t>
            </w:r>
          </w:p>
          <w:p w14:paraId="5EA1C0EE" w14:textId="77777777" w:rsidR="008B6BCA" w:rsidRPr="00E22A35" w:rsidRDefault="008B6BCA" w:rsidP="00602CB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ULO5</w:t>
            </w:r>
          </w:p>
        </w:tc>
      </w:tr>
    </w:tbl>
    <w:p w14:paraId="2CE927A6" w14:textId="77777777" w:rsidR="006A6215" w:rsidRPr="009E1701" w:rsidRDefault="006A6215" w:rsidP="006A6215">
      <w:pPr>
        <w:contextualSpacing/>
        <w:jc w:val="both"/>
        <w:rPr>
          <w:color w:val="FF0000"/>
          <w:sz w:val="18"/>
          <w:szCs w:val="20"/>
        </w:rPr>
      </w:pPr>
      <w:r w:rsidRPr="009E1701">
        <w:rPr>
          <w:color w:val="000000" w:themeColor="text1"/>
          <w:sz w:val="18"/>
          <w:szCs w:val="20"/>
        </w:rPr>
        <w:t>equiv. – equivalent word count based on the Assessment Load Equivalence Guide. It means this assessment is equivalent to the normally expected time requirement for a written submission containing the specified number of words.</w:t>
      </w:r>
    </w:p>
    <w:p w14:paraId="51F93B9A" w14:textId="77777777" w:rsidR="00484A97" w:rsidRDefault="00484A97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</w:p>
    <w:p w14:paraId="35E31F70" w14:textId="5941F24C" w:rsidR="00305D33" w:rsidRPr="003C364E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5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1BAA344A" w14:textId="77777777" w:rsidR="00F30114" w:rsidRDefault="00887018" w:rsidP="001E6DEA">
      <w:pPr>
        <w:spacing w:after="0" w:line="240" w:lineRule="auto"/>
        <w:rPr>
          <w:rFonts w:cstheme="minorHAnsi"/>
          <w:b/>
        </w:rPr>
      </w:pPr>
      <w:r w:rsidRPr="00956981">
        <w:rPr>
          <w:rFonts w:cstheme="minorHAnsi"/>
          <w:b/>
        </w:rPr>
        <w:t>Prescribed text(s):</w:t>
      </w:r>
    </w:p>
    <w:p w14:paraId="622663C6" w14:textId="66C5FCDA" w:rsidR="001F6DAF" w:rsidRDefault="00E22A35" w:rsidP="59E17BFE">
      <w:pPr>
        <w:spacing w:after="0" w:line="240" w:lineRule="auto"/>
        <w:rPr>
          <w:rFonts w:eastAsia="Times New Roman"/>
          <w:lang w:eastAsia="en-AU"/>
        </w:rPr>
      </w:pPr>
      <w:r>
        <w:t xml:space="preserve">Stair, RM &amp; Reynolds, GW 2017, Fundamentals of information systems, 9th </w:t>
      </w:r>
      <w:proofErr w:type="spellStart"/>
      <w:r>
        <w:t>edn</w:t>
      </w:r>
      <w:proofErr w:type="spellEnd"/>
      <w:r>
        <w:t>, Cengage Learning, Boston, Massachusetts.</w:t>
      </w:r>
    </w:p>
    <w:p w14:paraId="20EBFB85" w14:textId="0CC49B1A" w:rsidR="59E17BFE" w:rsidRDefault="59E17BFE" w:rsidP="59E17BFE"/>
    <w:p w14:paraId="0D9E02DB" w14:textId="77777777" w:rsidR="001F6DAF" w:rsidRDefault="001F6DAF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12F51BD9" w14:textId="75CE7CFE" w:rsidR="00162C20" w:rsidRPr="003C364E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3C364E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12294C75" w14:textId="33B764A8" w:rsidR="59E17BFE" w:rsidRPr="008B6BCA" w:rsidRDefault="00162C20" w:rsidP="008B6BCA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6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12E9C693" w14:textId="77777777" w:rsidR="003C364E" w:rsidRDefault="003C364E" w:rsidP="003C364E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364E" w14:paraId="4CE6F853" w14:textId="77777777" w:rsidTr="0011210E">
        <w:trPr>
          <w:trHeight w:val="2041"/>
        </w:trPr>
        <w:tc>
          <w:tcPr>
            <w:tcW w:w="4508" w:type="dxa"/>
          </w:tcPr>
          <w:p w14:paraId="2D73AFED" w14:textId="77777777" w:rsidR="003C364E" w:rsidRPr="0036208A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4A30DC42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7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4F7E9C8D" w14:textId="77777777" w:rsidR="003C364E" w:rsidRPr="00F30B6B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4748BF7D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8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3C364E" w14:paraId="71650B29" w14:textId="77777777" w:rsidTr="0011210E">
        <w:trPr>
          <w:trHeight w:val="2041"/>
        </w:trPr>
        <w:tc>
          <w:tcPr>
            <w:tcW w:w="4508" w:type="dxa"/>
          </w:tcPr>
          <w:p w14:paraId="53D160CB" w14:textId="77777777" w:rsidR="003C364E" w:rsidRPr="00090BAB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227B2104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19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68AE650D" w14:textId="77777777" w:rsidR="003C364E" w:rsidRPr="000C6FCA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05679252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20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3C364E" w14:paraId="4B2305EB" w14:textId="77777777" w:rsidTr="0011210E">
        <w:trPr>
          <w:trHeight w:val="2041"/>
        </w:trPr>
        <w:tc>
          <w:tcPr>
            <w:tcW w:w="4508" w:type="dxa"/>
          </w:tcPr>
          <w:p w14:paraId="4C6A06A6" w14:textId="77777777" w:rsidR="003C364E" w:rsidRPr="00382AAC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t>Expectations of student conduct</w:t>
            </w:r>
          </w:p>
          <w:p w14:paraId="1A8DF795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21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535FCA79" w14:textId="77777777" w:rsidR="003C364E" w:rsidRDefault="003C364E" w:rsidP="0011210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1CE75867" w14:textId="77777777" w:rsidR="003C364E" w:rsidRPr="006678C5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72373617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2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3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3C364E" w14:paraId="1B15080C" w14:textId="77777777" w:rsidTr="0011210E">
        <w:trPr>
          <w:trHeight w:val="2041"/>
        </w:trPr>
        <w:tc>
          <w:tcPr>
            <w:tcW w:w="4508" w:type="dxa"/>
          </w:tcPr>
          <w:p w14:paraId="19A6E210" w14:textId="77777777" w:rsidR="003C364E" w:rsidRPr="00D701EE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323B438D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4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269B337E" w14:textId="77777777" w:rsidR="003C364E" w:rsidRPr="00271436" w:rsidRDefault="003C364E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2B133640" w14:textId="77777777" w:rsidR="003C364E" w:rsidRDefault="003C364E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5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10E28330" w14:textId="77777777" w:rsidR="003C364E" w:rsidRDefault="003C364E" w:rsidP="003C364E">
      <w:pPr>
        <w:spacing w:line="264" w:lineRule="auto"/>
        <w:rPr>
          <w:rFonts w:cstheme="minorHAnsi"/>
        </w:rPr>
      </w:pPr>
    </w:p>
    <w:p w14:paraId="1F500BFE" w14:textId="77777777" w:rsidR="003C364E" w:rsidRPr="00561D44" w:rsidRDefault="003C364E" w:rsidP="003C364E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5CE8CCCA" w14:textId="77777777" w:rsidR="003C364E" w:rsidRPr="00561D44" w:rsidRDefault="003C364E" w:rsidP="003C364E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6A054017" w14:textId="35B4F776" w:rsidR="003C364E" w:rsidRPr="00B705F4" w:rsidRDefault="003C364E" w:rsidP="59E17BFE">
      <w:pPr>
        <w:spacing w:after="0"/>
        <w:rPr>
          <w:color w:val="000000" w:themeColor="text1"/>
        </w:rPr>
      </w:pPr>
      <w:r w:rsidRPr="5C9655F9">
        <w:rPr>
          <w:color w:val="000000" w:themeColor="text1"/>
        </w:rPr>
        <w:t>This Unit of study Guide was last modified on 27</w:t>
      </w:r>
      <w:r w:rsidRPr="5C9655F9">
        <w:rPr>
          <w:color w:val="000000" w:themeColor="text1"/>
          <w:vertAlign w:val="superscript"/>
        </w:rPr>
        <w:t>th</w:t>
      </w:r>
      <w:r w:rsidRPr="5C9655F9">
        <w:rPr>
          <w:color w:val="000000" w:themeColor="text1"/>
        </w:rPr>
        <w:t xml:space="preserve"> April 2022.</w:t>
      </w:r>
    </w:p>
    <w:p w14:paraId="6678A2F8" w14:textId="77777777" w:rsidR="003C364E" w:rsidRPr="00F45160" w:rsidRDefault="003C364E" w:rsidP="003C364E">
      <w:pPr>
        <w:spacing w:line="264" w:lineRule="auto"/>
        <w:rPr>
          <w:rFonts w:cstheme="minorHAnsi"/>
        </w:rPr>
      </w:pPr>
    </w:p>
    <w:p w14:paraId="40069E98" w14:textId="02690B79" w:rsidR="00F84079" w:rsidRPr="00F84079" w:rsidRDefault="00F84079" w:rsidP="003C364E">
      <w:pPr>
        <w:spacing w:before="120" w:after="120" w:line="240" w:lineRule="auto"/>
        <w:rPr>
          <w:rFonts w:cstheme="minorHAnsi"/>
          <w:b/>
          <w:bCs/>
          <w:color w:val="000000" w:themeColor="text1"/>
        </w:rPr>
      </w:pPr>
    </w:p>
    <w:sectPr w:rsidR="00F84079" w:rsidRPr="00F84079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F4C2" w14:textId="77777777" w:rsidR="00037A9D" w:rsidRDefault="00037A9D" w:rsidP="007C4BAA">
      <w:pPr>
        <w:spacing w:after="0" w:line="240" w:lineRule="auto"/>
      </w:pPr>
      <w:r>
        <w:separator/>
      </w:r>
    </w:p>
  </w:endnote>
  <w:endnote w:type="continuationSeparator" w:id="0">
    <w:p w14:paraId="11B8DF7C" w14:textId="77777777" w:rsidR="00037A9D" w:rsidRDefault="00037A9D" w:rsidP="007C4BAA">
      <w:pPr>
        <w:spacing w:after="0" w:line="240" w:lineRule="auto"/>
      </w:pPr>
      <w:r>
        <w:continuationSeparator/>
      </w:r>
    </w:p>
  </w:endnote>
  <w:endnote w:type="continuationNotice" w:id="1">
    <w:p w14:paraId="61686BD1" w14:textId="77777777" w:rsidR="00037A9D" w:rsidRDefault="00037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C364E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p>
      <w:p w14:paraId="46A55DFC" w14:textId="3EEFBFF5" w:rsidR="00DA0AD9" w:rsidRDefault="00E22A35" w:rsidP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                                                                      </w:t>
        </w:r>
        <w:r w:rsidRPr="00445FC8">
          <w:rPr>
            <w:rFonts w:cstheme="minorHAnsi"/>
            <w:bCs/>
            <w:sz w:val="16"/>
            <w:szCs w:val="16"/>
          </w:rPr>
          <w:t>ICT</w:t>
        </w:r>
        <w:r>
          <w:rPr>
            <w:rFonts w:cstheme="minorHAnsi"/>
            <w:bCs/>
            <w:sz w:val="16"/>
            <w:szCs w:val="16"/>
          </w:rPr>
          <w:t>5150 Information Systems</w:t>
        </w:r>
      </w:p>
    </w:sdtContent>
  </w:sdt>
  <w:p w14:paraId="5B6DA71F" w14:textId="77777777" w:rsidR="00DA0AD9" w:rsidRDefault="00DA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E693" w14:textId="77777777" w:rsidR="00037A9D" w:rsidRDefault="00037A9D" w:rsidP="007C4BAA">
      <w:pPr>
        <w:spacing w:after="0" w:line="240" w:lineRule="auto"/>
      </w:pPr>
      <w:r>
        <w:separator/>
      </w:r>
    </w:p>
  </w:footnote>
  <w:footnote w:type="continuationSeparator" w:id="0">
    <w:p w14:paraId="539DE85B" w14:textId="77777777" w:rsidR="00037A9D" w:rsidRDefault="00037A9D" w:rsidP="007C4BAA">
      <w:pPr>
        <w:spacing w:after="0" w:line="240" w:lineRule="auto"/>
      </w:pPr>
      <w:r>
        <w:continuationSeparator/>
      </w:r>
    </w:p>
  </w:footnote>
  <w:footnote w:type="continuationNotice" w:id="1">
    <w:p w14:paraId="382B5E30" w14:textId="77777777" w:rsidR="00037A9D" w:rsidRDefault="00037A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89E"/>
    <w:multiLevelType w:val="multilevel"/>
    <w:tmpl w:val="3F3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AB2"/>
    <w:multiLevelType w:val="hybridMultilevel"/>
    <w:tmpl w:val="71309E24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093862E6"/>
    <w:multiLevelType w:val="hybridMultilevel"/>
    <w:tmpl w:val="A7B2D7D6"/>
    <w:lvl w:ilvl="0" w:tplc="9148E1F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093A1BF9"/>
    <w:multiLevelType w:val="hybridMultilevel"/>
    <w:tmpl w:val="93FA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9E1"/>
    <w:multiLevelType w:val="multilevel"/>
    <w:tmpl w:val="0EA08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76AB"/>
    <w:multiLevelType w:val="hybridMultilevel"/>
    <w:tmpl w:val="967E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BD6"/>
    <w:multiLevelType w:val="multilevel"/>
    <w:tmpl w:val="03C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22989"/>
    <w:multiLevelType w:val="hybridMultilevel"/>
    <w:tmpl w:val="AB5C8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0627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471"/>
    <w:multiLevelType w:val="hybridMultilevel"/>
    <w:tmpl w:val="4EB4C9FE"/>
    <w:lvl w:ilvl="0" w:tplc="7B062D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53759E0"/>
    <w:multiLevelType w:val="hybridMultilevel"/>
    <w:tmpl w:val="AF0E24C6"/>
    <w:lvl w:ilvl="0" w:tplc="2FA65BEE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A32D5F"/>
    <w:multiLevelType w:val="multilevel"/>
    <w:tmpl w:val="92A64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E7A5B"/>
    <w:multiLevelType w:val="hybridMultilevel"/>
    <w:tmpl w:val="A6E4EF64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21F7A43"/>
    <w:multiLevelType w:val="multilevel"/>
    <w:tmpl w:val="509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B61AE"/>
    <w:multiLevelType w:val="hybridMultilevel"/>
    <w:tmpl w:val="B5E6E518"/>
    <w:lvl w:ilvl="0" w:tplc="D4484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4F7E"/>
    <w:multiLevelType w:val="multilevel"/>
    <w:tmpl w:val="973C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1D7D0C"/>
    <w:multiLevelType w:val="hybridMultilevel"/>
    <w:tmpl w:val="EAC4FFAC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74B4C"/>
    <w:multiLevelType w:val="multilevel"/>
    <w:tmpl w:val="E5C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208C5"/>
    <w:multiLevelType w:val="hybridMultilevel"/>
    <w:tmpl w:val="3F120BB2"/>
    <w:lvl w:ilvl="0" w:tplc="E3582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63937EC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0139D"/>
    <w:multiLevelType w:val="multilevel"/>
    <w:tmpl w:val="21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21337"/>
    <w:multiLevelType w:val="multilevel"/>
    <w:tmpl w:val="D2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826DB3"/>
    <w:multiLevelType w:val="hybridMultilevel"/>
    <w:tmpl w:val="C074A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B5DBD"/>
    <w:multiLevelType w:val="hybridMultilevel"/>
    <w:tmpl w:val="A68A98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4D811A5E"/>
    <w:multiLevelType w:val="multilevel"/>
    <w:tmpl w:val="76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2B58D6"/>
    <w:multiLevelType w:val="multilevel"/>
    <w:tmpl w:val="85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0C799A"/>
    <w:multiLevelType w:val="hybridMultilevel"/>
    <w:tmpl w:val="B6765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40040"/>
    <w:multiLevelType w:val="hybridMultilevel"/>
    <w:tmpl w:val="AA7CE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02299"/>
    <w:multiLevelType w:val="hybridMultilevel"/>
    <w:tmpl w:val="ECEEE468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91" w:hanging="360"/>
      </w:pPr>
    </w:lvl>
    <w:lvl w:ilvl="2" w:tplc="0C09001B" w:tentative="1">
      <w:start w:val="1"/>
      <w:numFmt w:val="lowerRoman"/>
      <w:lvlText w:val="%3."/>
      <w:lvlJc w:val="right"/>
      <w:pPr>
        <w:ind w:left="2111" w:hanging="180"/>
      </w:pPr>
    </w:lvl>
    <w:lvl w:ilvl="3" w:tplc="0C09000F" w:tentative="1">
      <w:start w:val="1"/>
      <w:numFmt w:val="decimal"/>
      <w:lvlText w:val="%4."/>
      <w:lvlJc w:val="left"/>
      <w:pPr>
        <w:ind w:left="2831" w:hanging="360"/>
      </w:pPr>
    </w:lvl>
    <w:lvl w:ilvl="4" w:tplc="0C090019" w:tentative="1">
      <w:start w:val="1"/>
      <w:numFmt w:val="lowerLetter"/>
      <w:lvlText w:val="%5."/>
      <w:lvlJc w:val="left"/>
      <w:pPr>
        <w:ind w:left="3551" w:hanging="360"/>
      </w:pPr>
    </w:lvl>
    <w:lvl w:ilvl="5" w:tplc="0C09001B" w:tentative="1">
      <w:start w:val="1"/>
      <w:numFmt w:val="lowerRoman"/>
      <w:lvlText w:val="%6."/>
      <w:lvlJc w:val="right"/>
      <w:pPr>
        <w:ind w:left="4271" w:hanging="180"/>
      </w:pPr>
    </w:lvl>
    <w:lvl w:ilvl="6" w:tplc="0C09000F" w:tentative="1">
      <w:start w:val="1"/>
      <w:numFmt w:val="decimal"/>
      <w:lvlText w:val="%7."/>
      <w:lvlJc w:val="left"/>
      <w:pPr>
        <w:ind w:left="4991" w:hanging="360"/>
      </w:pPr>
    </w:lvl>
    <w:lvl w:ilvl="7" w:tplc="0C090019" w:tentative="1">
      <w:start w:val="1"/>
      <w:numFmt w:val="lowerLetter"/>
      <w:lvlText w:val="%8."/>
      <w:lvlJc w:val="left"/>
      <w:pPr>
        <w:ind w:left="5711" w:hanging="360"/>
      </w:pPr>
    </w:lvl>
    <w:lvl w:ilvl="8" w:tplc="0C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2" w15:restartNumberingAfterBreak="0">
    <w:nsid w:val="59706FE1"/>
    <w:multiLevelType w:val="multilevel"/>
    <w:tmpl w:val="C1B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C14B41"/>
    <w:multiLevelType w:val="hybridMultilevel"/>
    <w:tmpl w:val="5D5E695C"/>
    <w:lvl w:ilvl="0" w:tplc="F10C06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DAB40CA"/>
    <w:multiLevelType w:val="multilevel"/>
    <w:tmpl w:val="9A7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19301D"/>
    <w:multiLevelType w:val="hybridMultilevel"/>
    <w:tmpl w:val="FE0473CE"/>
    <w:lvl w:ilvl="0" w:tplc="0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6" w15:restartNumberingAfterBreak="0">
    <w:nsid w:val="61054BC9"/>
    <w:multiLevelType w:val="multilevel"/>
    <w:tmpl w:val="483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E336C2"/>
    <w:multiLevelType w:val="multilevel"/>
    <w:tmpl w:val="C5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3357BF"/>
    <w:multiLevelType w:val="multilevel"/>
    <w:tmpl w:val="1DA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66ADC"/>
    <w:multiLevelType w:val="multilevel"/>
    <w:tmpl w:val="A970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7F70C8"/>
    <w:multiLevelType w:val="multilevel"/>
    <w:tmpl w:val="E70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C53BA5"/>
    <w:multiLevelType w:val="multilevel"/>
    <w:tmpl w:val="E2D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0343BF"/>
    <w:multiLevelType w:val="multilevel"/>
    <w:tmpl w:val="5BC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AC3425"/>
    <w:multiLevelType w:val="hybridMultilevel"/>
    <w:tmpl w:val="EA08EFA0"/>
    <w:lvl w:ilvl="0" w:tplc="A22AC2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762F365D"/>
    <w:multiLevelType w:val="hybridMultilevel"/>
    <w:tmpl w:val="7DA0ED8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5" w15:restartNumberingAfterBreak="0">
    <w:nsid w:val="7EF67A49"/>
    <w:multiLevelType w:val="multilevel"/>
    <w:tmpl w:val="2D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C90637"/>
    <w:multiLevelType w:val="multilevel"/>
    <w:tmpl w:val="36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7920721">
    <w:abstractNumId w:val="18"/>
  </w:num>
  <w:num w:numId="2" w16cid:durableId="494763810">
    <w:abstractNumId w:val="15"/>
  </w:num>
  <w:num w:numId="3" w16cid:durableId="993875366">
    <w:abstractNumId w:val="11"/>
  </w:num>
  <w:num w:numId="4" w16cid:durableId="1176460276">
    <w:abstractNumId w:val="2"/>
  </w:num>
  <w:num w:numId="5" w16cid:durableId="501049397">
    <w:abstractNumId w:val="21"/>
  </w:num>
  <w:num w:numId="6" w16cid:durableId="802036821">
    <w:abstractNumId w:val="43"/>
  </w:num>
  <w:num w:numId="7" w16cid:durableId="207114513">
    <w:abstractNumId w:val="33"/>
  </w:num>
  <w:num w:numId="8" w16cid:durableId="509491162">
    <w:abstractNumId w:val="10"/>
  </w:num>
  <w:num w:numId="9" w16cid:durableId="871654274">
    <w:abstractNumId w:val="9"/>
  </w:num>
  <w:num w:numId="10" w16cid:durableId="408386900">
    <w:abstractNumId w:val="22"/>
  </w:num>
  <w:num w:numId="11" w16cid:durableId="67463975">
    <w:abstractNumId w:val="30"/>
  </w:num>
  <w:num w:numId="12" w16cid:durableId="950236983">
    <w:abstractNumId w:val="5"/>
  </w:num>
  <w:num w:numId="13" w16cid:durableId="1034842954">
    <w:abstractNumId w:val="8"/>
  </w:num>
  <w:num w:numId="14" w16cid:durableId="1173033433">
    <w:abstractNumId w:val="35"/>
  </w:num>
  <w:num w:numId="15" w16cid:durableId="794178516">
    <w:abstractNumId w:val="25"/>
  </w:num>
  <w:num w:numId="16" w16cid:durableId="2141873994">
    <w:abstractNumId w:val="31"/>
  </w:num>
  <w:num w:numId="17" w16cid:durableId="1337417690">
    <w:abstractNumId w:val="3"/>
  </w:num>
  <w:num w:numId="18" w16cid:durableId="1928996400">
    <w:abstractNumId w:val="1"/>
  </w:num>
  <w:num w:numId="19" w16cid:durableId="940995395">
    <w:abstractNumId w:val="13"/>
  </w:num>
  <w:num w:numId="20" w16cid:durableId="1518153084">
    <w:abstractNumId w:val="44"/>
  </w:num>
  <w:num w:numId="21" w16cid:durableId="1808937012">
    <w:abstractNumId w:val="26"/>
  </w:num>
  <w:num w:numId="22" w16cid:durableId="313804131">
    <w:abstractNumId w:val="29"/>
  </w:num>
  <w:num w:numId="23" w16cid:durableId="2107381255">
    <w:abstractNumId w:val="16"/>
  </w:num>
  <w:num w:numId="24" w16cid:durableId="879442676">
    <w:abstractNumId w:val="4"/>
  </w:num>
  <w:num w:numId="25" w16cid:durableId="864945826">
    <w:abstractNumId w:val="39"/>
  </w:num>
  <w:num w:numId="26" w16cid:durableId="2011523698">
    <w:abstractNumId w:val="12"/>
  </w:num>
  <w:num w:numId="27" w16cid:durableId="1905141352">
    <w:abstractNumId w:val="38"/>
  </w:num>
  <w:num w:numId="28" w16cid:durableId="1357728654">
    <w:abstractNumId w:val="45"/>
  </w:num>
  <w:num w:numId="29" w16cid:durableId="1959749441">
    <w:abstractNumId w:val="34"/>
  </w:num>
  <w:num w:numId="30" w16cid:durableId="1225261508">
    <w:abstractNumId w:val="32"/>
  </w:num>
  <w:num w:numId="31" w16cid:durableId="611207602">
    <w:abstractNumId w:val="28"/>
  </w:num>
  <w:num w:numId="32" w16cid:durableId="31685963">
    <w:abstractNumId w:val="36"/>
  </w:num>
  <w:num w:numId="33" w16cid:durableId="295529138">
    <w:abstractNumId w:val="7"/>
  </w:num>
  <w:num w:numId="34" w16cid:durableId="1797917221">
    <w:abstractNumId w:val="40"/>
  </w:num>
  <w:num w:numId="35" w16cid:durableId="451637749">
    <w:abstractNumId w:val="27"/>
  </w:num>
  <w:num w:numId="36" w16cid:durableId="1839685138">
    <w:abstractNumId w:val="19"/>
  </w:num>
  <w:num w:numId="37" w16cid:durableId="1437822089">
    <w:abstractNumId w:val="24"/>
  </w:num>
  <w:num w:numId="38" w16cid:durableId="959725936">
    <w:abstractNumId w:val="23"/>
  </w:num>
  <w:num w:numId="39" w16cid:durableId="244649757">
    <w:abstractNumId w:val="46"/>
  </w:num>
  <w:num w:numId="40" w16cid:durableId="289094120">
    <w:abstractNumId w:val="37"/>
  </w:num>
  <w:num w:numId="41" w16cid:durableId="1547066540">
    <w:abstractNumId w:val="14"/>
  </w:num>
  <w:num w:numId="42" w16cid:durableId="1784692298">
    <w:abstractNumId w:val="41"/>
  </w:num>
  <w:num w:numId="43" w16cid:durableId="641076290">
    <w:abstractNumId w:val="0"/>
  </w:num>
  <w:num w:numId="44" w16cid:durableId="1725643104">
    <w:abstractNumId w:val="42"/>
  </w:num>
  <w:num w:numId="45" w16cid:durableId="1861620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9744548">
    <w:abstractNumId w:val="20"/>
  </w:num>
  <w:num w:numId="47" w16cid:durableId="1715932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D"/>
    <w:rsid w:val="000049A1"/>
    <w:rsid w:val="00037A9D"/>
    <w:rsid w:val="00041FA4"/>
    <w:rsid w:val="0004365E"/>
    <w:rsid w:val="000436A6"/>
    <w:rsid w:val="000578BA"/>
    <w:rsid w:val="00066A1D"/>
    <w:rsid w:val="00093309"/>
    <w:rsid w:val="0009369E"/>
    <w:rsid w:val="0009404E"/>
    <w:rsid w:val="000A72A1"/>
    <w:rsid w:val="000A779F"/>
    <w:rsid w:val="000C7D8D"/>
    <w:rsid w:val="000D6AB0"/>
    <w:rsid w:val="001225E9"/>
    <w:rsid w:val="00125987"/>
    <w:rsid w:val="00134D32"/>
    <w:rsid w:val="0014547F"/>
    <w:rsid w:val="001472AE"/>
    <w:rsid w:val="0015174B"/>
    <w:rsid w:val="00156D6E"/>
    <w:rsid w:val="00162C20"/>
    <w:rsid w:val="00163F4B"/>
    <w:rsid w:val="001737CF"/>
    <w:rsid w:val="00177A10"/>
    <w:rsid w:val="00180760"/>
    <w:rsid w:val="00186805"/>
    <w:rsid w:val="00190028"/>
    <w:rsid w:val="00194B05"/>
    <w:rsid w:val="001977A9"/>
    <w:rsid w:val="001A63F7"/>
    <w:rsid w:val="001C4E90"/>
    <w:rsid w:val="001D47AE"/>
    <w:rsid w:val="001D7CB4"/>
    <w:rsid w:val="001E0C8B"/>
    <w:rsid w:val="001E13F1"/>
    <w:rsid w:val="001E6DEA"/>
    <w:rsid w:val="001F2268"/>
    <w:rsid w:val="001F3B09"/>
    <w:rsid w:val="001F5680"/>
    <w:rsid w:val="001F6DAF"/>
    <w:rsid w:val="00202049"/>
    <w:rsid w:val="00221843"/>
    <w:rsid w:val="00224F64"/>
    <w:rsid w:val="00237B7C"/>
    <w:rsid w:val="0024001D"/>
    <w:rsid w:val="0024267A"/>
    <w:rsid w:val="00242B0E"/>
    <w:rsid w:val="0025379A"/>
    <w:rsid w:val="00263618"/>
    <w:rsid w:val="002879C7"/>
    <w:rsid w:val="002A5FD2"/>
    <w:rsid w:val="002C4269"/>
    <w:rsid w:val="002C73C5"/>
    <w:rsid w:val="002D3C9F"/>
    <w:rsid w:val="002E10E3"/>
    <w:rsid w:val="00305D33"/>
    <w:rsid w:val="003148F3"/>
    <w:rsid w:val="00314F54"/>
    <w:rsid w:val="0032030C"/>
    <w:rsid w:val="003275B3"/>
    <w:rsid w:val="00342CDA"/>
    <w:rsid w:val="00354D75"/>
    <w:rsid w:val="00356C1E"/>
    <w:rsid w:val="00366313"/>
    <w:rsid w:val="003854A0"/>
    <w:rsid w:val="00392C0C"/>
    <w:rsid w:val="003A5AA1"/>
    <w:rsid w:val="003B3289"/>
    <w:rsid w:val="003C364E"/>
    <w:rsid w:val="003D64AF"/>
    <w:rsid w:val="003E6332"/>
    <w:rsid w:val="003F5A8D"/>
    <w:rsid w:val="004141A6"/>
    <w:rsid w:val="00420D97"/>
    <w:rsid w:val="004216ED"/>
    <w:rsid w:val="00433C12"/>
    <w:rsid w:val="00434993"/>
    <w:rsid w:val="004422C2"/>
    <w:rsid w:val="0046533F"/>
    <w:rsid w:val="0047094A"/>
    <w:rsid w:val="00472CE4"/>
    <w:rsid w:val="00484A97"/>
    <w:rsid w:val="004B0EF1"/>
    <w:rsid w:val="004B41C5"/>
    <w:rsid w:val="004C01D8"/>
    <w:rsid w:val="004C2362"/>
    <w:rsid w:val="004C4D49"/>
    <w:rsid w:val="004C5044"/>
    <w:rsid w:val="004C7E38"/>
    <w:rsid w:val="004D68A4"/>
    <w:rsid w:val="004E1E9C"/>
    <w:rsid w:val="004E76E4"/>
    <w:rsid w:val="004F656B"/>
    <w:rsid w:val="005042F8"/>
    <w:rsid w:val="00504727"/>
    <w:rsid w:val="00515B83"/>
    <w:rsid w:val="00527DB6"/>
    <w:rsid w:val="005336C7"/>
    <w:rsid w:val="0055761E"/>
    <w:rsid w:val="00564140"/>
    <w:rsid w:val="00587850"/>
    <w:rsid w:val="00594255"/>
    <w:rsid w:val="005963EA"/>
    <w:rsid w:val="005A58A0"/>
    <w:rsid w:val="005B5450"/>
    <w:rsid w:val="005C32D8"/>
    <w:rsid w:val="005C5DE6"/>
    <w:rsid w:val="005D48D3"/>
    <w:rsid w:val="005D4EEC"/>
    <w:rsid w:val="005D7F51"/>
    <w:rsid w:val="00602CB9"/>
    <w:rsid w:val="00613772"/>
    <w:rsid w:val="006272FE"/>
    <w:rsid w:val="0063407B"/>
    <w:rsid w:val="006343FE"/>
    <w:rsid w:val="0063571C"/>
    <w:rsid w:val="00657A38"/>
    <w:rsid w:val="006A6215"/>
    <w:rsid w:val="006A626D"/>
    <w:rsid w:val="006B07C9"/>
    <w:rsid w:val="006B1816"/>
    <w:rsid w:val="006B53F3"/>
    <w:rsid w:val="006C0436"/>
    <w:rsid w:val="006C0FD9"/>
    <w:rsid w:val="006C5CE5"/>
    <w:rsid w:val="006C5F45"/>
    <w:rsid w:val="006D00A9"/>
    <w:rsid w:val="006D0CD2"/>
    <w:rsid w:val="006E0A68"/>
    <w:rsid w:val="006F4EC7"/>
    <w:rsid w:val="0070151C"/>
    <w:rsid w:val="00721B3A"/>
    <w:rsid w:val="00725EAD"/>
    <w:rsid w:val="00756095"/>
    <w:rsid w:val="00757168"/>
    <w:rsid w:val="007669AA"/>
    <w:rsid w:val="00773DEE"/>
    <w:rsid w:val="00774C96"/>
    <w:rsid w:val="00797314"/>
    <w:rsid w:val="007B2818"/>
    <w:rsid w:val="007C4BAA"/>
    <w:rsid w:val="007C532B"/>
    <w:rsid w:val="007D03E5"/>
    <w:rsid w:val="007D67C0"/>
    <w:rsid w:val="007E62FA"/>
    <w:rsid w:val="00804458"/>
    <w:rsid w:val="008104BA"/>
    <w:rsid w:val="008232EC"/>
    <w:rsid w:val="008277A2"/>
    <w:rsid w:val="00851967"/>
    <w:rsid w:val="00854231"/>
    <w:rsid w:val="00855695"/>
    <w:rsid w:val="00857318"/>
    <w:rsid w:val="00863B00"/>
    <w:rsid w:val="00863F05"/>
    <w:rsid w:val="00884CAF"/>
    <w:rsid w:val="00887018"/>
    <w:rsid w:val="0089443C"/>
    <w:rsid w:val="008957C2"/>
    <w:rsid w:val="008B6BCA"/>
    <w:rsid w:val="008C3387"/>
    <w:rsid w:val="008D19D6"/>
    <w:rsid w:val="008D1E8D"/>
    <w:rsid w:val="008E02FE"/>
    <w:rsid w:val="008E0434"/>
    <w:rsid w:val="008E0DE9"/>
    <w:rsid w:val="008F13F1"/>
    <w:rsid w:val="009002B4"/>
    <w:rsid w:val="009019AE"/>
    <w:rsid w:val="00944E13"/>
    <w:rsid w:val="00954D36"/>
    <w:rsid w:val="00956981"/>
    <w:rsid w:val="00957185"/>
    <w:rsid w:val="00964577"/>
    <w:rsid w:val="009951E4"/>
    <w:rsid w:val="00995529"/>
    <w:rsid w:val="00996BF9"/>
    <w:rsid w:val="0099756E"/>
    <w:rsid w:val="009A2660"/>
    <w:rsid w:val="009B7596"/>
    <w:rsid w:val="009C2067"/>
    <w:rsid w:val="009C3649"/>
    <w:rsid w:val="009D3FBF"/>
    <w:rsid w:val="009D7016"/>
    <w:rsid w:val="009D7303"/>
    <w:rsid w:val="009E448A"/>
    <w:rsid w:val="009E7591"/>
    <w:rsid w:val="00A02A68"/>
    <w:rsid w:val="00A07CE8"/>
    <w:rsid w:val="00A151BA"/>
    <w:rsid w:val="00A47939"/>
    <w:rsid w:val="00A51D34"/>
    <w:rsid w:val="00A52649"/>
    <w:rsid w:val="00A548CD"/>
    <w:rsid w:val="00A63332"/>
    <w:rsid w:val="00A75565"/>
    <w:rsid w:val="00AA16A4"/>
    <w:rsid w:val="00AC4940"/>
    <w:rsid w:val="00AE6A64"/>
    <w:rsid w:val="00AE6D6B"/>
    <w:rsid w:val="00B11461"/>
    <w:rsid w:val="00B25AA2"/>
    <w:rsid w:val="00B41A45"/>
    <w:rsid w:val="00B42B9B"/>
    <w:rsid w:val="00B5346E"/>
    <w:rsid w:val="00B5682B"/>
    <w:rsid w:val="00B660FF"/>
    <w:rsid w:val="00B7469E"/>
    <w:rsid w:val="00B7477A"/>
    <w:rsid w:val="00B75904"/>
    <w:rsid w:val="00B83567"/>
    <w:rsid w:val="00B87995"/>
    <w:rsid w:val="00B92217"/>
    <w:rsid w:val="00BA21C0"/>
    <w:rsid w:val="00BA252B"/>
    <w:rsid w:val="00BA527B"/>
    <w:rsid w:val="00BB141F"/>
    <w:rsid w:val="00BB5C96"/>
    <w:rsid w:val="00BC3DA8"/>
    <w:rsid w:val="00BC5C0E"/>
    <w:rsid w:val="00BC5EA2"/>
    <w:rsid w:val="00BE129E"/>
    <w:rsid w:val="00BE24C6"/>
    <w:rsid w:val="00BE2730"/>
    <w:rsid w:val="00BF3BB7"/>
    <w:rsid w:val="00C36CD3"/>
    <w:rsid w:val="00C437BE"/>
    <w:rsid w:val="00C82490"/>
    <w:rsid w:val="00C91805"/>
    <w:rsid w:val="00CA1DD7"/>
    <w:rsid w:val="00CA3229"/>
    <w:rsid w:val="00CC0051"/>
    <w:rsid w:val="00D127FA"/>
    <w:rsid w:val="00D357BB"/>
    <w:rsid w:val="00D506B5"/>
    <w:rsid w:val="00D5327E"/>
    <w:rsid w:val="00D62E35"/>
    <w:rsid w:val="00D72C31"/>
    <w:rsid w:val="00D817D5"/>
    <w:rsid w:val="00D967B5"/>
    <w:rsid w:val="00D9699D"/>
    <w:rsid w:val="00DA0AD9"/>
    <w:rsid w:val="00DB51F8"/>
    <w:rsid w:val="00DC3D88"/>
    <w:rsid w:val="00DD2FC1"/>
    <w:rsid w:val="00DD7828"/>
    <w:rsid w:val="00DF25E9"/>
    <w:rsid w:val="00DF549C"/>
    <w:rsid w:val="00DF649D"/>
    <w:rsid w:val="00E047A7"/>
    <w:rsid w:val="00E06651"/>
    <w:rsid w:val="00E06A13"/>
    <w:rsid w:val="00E15B6F"/>
    <w:rsid w:val="00E21FEF"/>
    <w:rsid w:val="00E22A35"/>
    <w:rsid w:val="00E31433"/>
    <w:rsid w:val="00E51059"/>
    <w:rsid w:val="00E512AB"/>
    <w:rsid w:val="00E530DF"/>
    <w:rsid w:val="00E54022"/>
    <w:rsid w:val="00E56901"/>
    <w:rsid w:val="00E74F0A"/>
    <w:rsid w:val="00EA4564"/>
    <w:rsid w:val="00EB568E"/>
    <w:rsid w:val="00EB7215"/>
    <w:rsid w:val="00EC07B1"/>
    <w:rsid w:val="00ED33B9"/>
    <w:rsid w:val="00EE675C"/>
    <w:rsid w:val="00EF2C4E"/>
    <w:rsid w:val="00EF6581"/>
    <w:rsid w:val="00F03A36"/>
    <w:rsid w:val="00F04BC6"/>
    <w:rsid w:val="00F14B1C"/>
    <w:rsid w:val="00F15466"/>
    <w:rsid w:val="00F2587D"/>
    <w:rsid w:val="00F30114"/>
    <w:rsid w:val="00F31E8A"/>
    <w:rsid w:val="00F33010"/>
    <w:rsid w:val="00F353C4"/>
    <w:rsid w:val="00F57182"/>
    <w:rsid w:val="00F72E00"/>
    <w:rsid w:val="00F749C4"/>
    <w:rsid w:val="00F81CC3"/>
    <w:rsid w:val="00F84079"/>
    <w:rsid w:val="00F94C71"/>
    <w:rsid w:val="00FA3822"/>
    <w:rsid w:val="00FA48B9"/>
    <w:rsid w:val="00FA7ED4"/>
    <w:rsid w:val="00FC2E8F"/>
    <w:rsid w:val="00FC3D69"/>
    <w:rsid w:val="00FD6850"/>
    <w:rsid w:val="00FE33FC"/>
    <w:rsid w:val="00FE638E"/>
    <w:rsid w:val="0803193C"/>
    <w:rsid w:val="0A4EDD77"/>
    <w:rsid w:val="170265D3"/>
    <w:rsid w:val="19873EE1"/>
    <w:rsid w:val="1F631920"/>
    <w:rsid w:val="29CC0371"/>
    <w:rsid w:val="36229B8A"/>
    <w:rsid w:val="4339B417"/>
    <w:rsid w:val="44F50C84"/>
    <w:rsid w:val="469DBB82"/>
    <w:rsid w:val="47BC2CB9"/>
    <w:rsid w:val="56B91DD5"/>
    <w:rsid w:val="59E17BFE"/>
    <w:rsid w:val="5C9655F9"/>
    <w:rsid w:val="5E87B5F7"/>
    <w:rsid w:val="629C6FAF"/>
    <w:rsid w:val="65598711"/>
    <w:rsid w:val="71AEE684"/>
    <w:rsid w:val="7432E896"/>
    <w:rsid w:val="7D0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11F7"/>
  <w15:docId w15:val="{2BF123AD-8728-43E3-A642-271B8B8F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picollege.edu.au/policies-and-regulation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apicollege.edu.au/policies-and-regulations/" TargetMode="External"/><Relationship Id="rId25" Type="http://schemas.openxmlformats.org/officeDocument/2006/relationships/hyperlink" Target="https://apicollege.edu.au/current-students/academic-calenda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icollege.edu.au/policies/ACADEMIC_INTEGRITY_POLICY.pdf" TargetMode="External"/><Relationship Id="rId20" Type="http://schemas.openxmlformats.org/officeDocument/2006/relationships/hyperlink" Target="https://apicollege.edu.au/policies-and-regulatio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college.edu.au/policies/Award_of_Grades_Policy.pdf" TargetMode="External"/><Relationship Id="rId24" Type="http://schemas.openxmlformats.org/officeDocument/2006/relationships/hyperlink" Target="https://apic.instructure.com/courses/35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alibrary.on.worldcat.org/courseReserves/landing" TargetMode="External"/><Relationship Id="rId23" Type="http://schemas.openxmlformats.org/officeDocument/2006/relationships/hyperlink" Target="https://apic.instructure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https://apic.instructure.com/courses/35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4" ma:contentTypeDescription="Create a new document." ma:contentTypeScope="" ma:versionID="be536e460445d948e0a1b57d636a9d91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fd736635fa4504b4551bd4173bd10fe8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2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89CA-61ED-43FD-8E94-2E42CAD8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1383</Words>
  <Characters>7886</Characters>
  <Application>Microsoft Office Word</Application>
  <DocSecurity>0</DocSecurity>
  <Lines>65</Lines>
  <Paragraphs>18</Paragraphs>
  <ScaleCrop>false</ScaleCrop>
  <Company>Study Group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4</cp:revision>
  <dcterms:created xsi:type="dcterms:W3CDTF">2023-08-27T11:34:00Z</dcterms:created>
  <dcterms:modified xsi:type="dcterms:W3CDTF">2023-11-09T13:47:00Z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  <property fmtid="{D5CDD505-2E9C-101B-9397-08002B2CF9AE}" pid="3" name="MediaServiceImageTags">
    <vt:lpwstr/>
  </property>
</Properties>
</file>